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8C" w:rsidRPr="00AA6E83" w:rsidRDefault="00B1678C" w:rsidP="00B1678C">
      <w:pPr>
        <w:rPr>
          <w:i/>
          <w:iCs/>
        </w:rPr>
      </w:pPr>
      <w:r w:rsidRPr="00AA6E83">
        <w:rPr>
          <w:i/>
          <w:iCs/>
        </w:rPr>
        <w:t xml:space="preserve">SRK – </w:t>
      </w:r>
      <w:r w:rsidR="00182DC5">
        <w:rPr>
          <w:i/>
          <w:iCs/>
        </w:rPr>
        <w:t xml:space="preserve">article on </w:t>
      </w:r>
      <w:r w:rsidRPr="00AA6E83">
        <w:rPr>
          <w:i/>
          <w:iCs/>
        </w:rPr>
        <w:t xml:space="preserve">water stewardship </w:t>
      </w:r>
      <w:r w:rsidR="000F1EAE">
        <w:rPr>
          <w:i/>
          <w:iCs/>
        </w:rPr>
        <w:t>in mining</w:t>
      </w:r>
    </w:p>
    <w:p w:rsidR="00B1678C" w:rsidRPr="00182DC5" w:rsidRDefault="00C12081" w:rsidP="00182DC5">
      <w:pPr>
        <w:pStyle w:val="Title"/>
        <w:rPr>
          <w:sz w:val="40"/>
          <w:szCs w:val="40"/>
        </w:rPr>
      </w:pPr>
      <w:r>
        <w:rPr>
          <w:sz w:val="40"/>
          <w:szCs w:val="40"/>
        </w:rPr>
        <w:t>W</w:t>
      </w:r>
      <w:r w:rsidR="002021DC">
        <w:rPr>
          <w:sz w:val="40"/>
          <w:szCs w:val="40"/>
        </w:rPr>
        <w:t>ater stewardship</w:t>
      </w:r>
      <w:r w:rsidR="00DD1193">
        <w:rPr>
          <w:sz w:val="40"/>
          <w:szCs w:val="40"/>
        </w:rPr>
        <w:t xml:space="preserve"> </w:t>
      </w:r>
      <w:r w:rsidR="008E5575">
        <w:rPr>
          <w:sz w:val="40"/>
          <w:szCs w:val="40"/>
        </w:rPr>
        <w:t>give</w:t>
      </w:r>
      <w:r w:rsidR="00312B82">
        <w:rPr>
          <w:sz w:val="40"/>
          <w:szCs w:val="40"/>
        </w:rPr>
        <w:t>s</w:t>
      </w:r>
      <w:r w:rsidR="00DD1193">
        <w:rPr>
          <w:sz w:val="40"/>
          <w:szCs w:val="40"/>
        </w:rPr>
        <w:t xml:space="preserve"> </w:t>
      </w:r>
      <w:r>
        <w:rPr>
          <w:sz w:val="40"/>
          <w:szCs w:val="40"/>
        </w:rPr>
        <w:t xml:space="preserve">mines </w:t>
      </w:r>
      <w:r w:rsidR="008E5575">
        <w:rPr>
          <w:sz w:val="40"/>
          <w:szCs w:val="40"/>
        </w:rPr>
        <w:t xml:space="preserve">the </w:t>
      </w:r>
      <w:r>
        <w:rPr>
          <w:sz w:val="40"/>
          <w:szCs w:val="40"/>
        </w:rPr>
        <w:t>broader view</w:t>
      </w:r>
    </w:p>
    <w:p w:rsidR="00110D5D" w:rsidRDefault="00110D5D" w:rsidP="00182DC5"/>
    <w:p w:rsidR="00E952C8" w:rsidRDefault="00E952C8" w:rsidP="00182DC5">
      <w:r>
        <w:t xml:space="preserve">With South Africa’s growing </w:t>
      </w:r>
      <w:r w:rsidR="00E730A9">
        <w:t xml:space="preserve">demand for water – and the </w:t>
      </w:r>
      <w:r w:rsidR="00450242">
        <w:t xml:space="preserve">impact of climate change on rainfall variability and water supply security </w:t>
      </w:r>
      <w:r w:rsidR="0063718E">
        <w:t>–</w:t>
      </w:r>
      <w:r w:rsidR="00450242">
        <w:t xml:space="preserve"> </w:t>
      </w:r>
      <w:r w:rsidR="00CA08B8">
        <w:t xml:space="preserve">the need for a systematic approach </w:t>
      </w:r>
      <w:r w:rsidR="001109A7">
        <w:t>to water stewardship</w:t>
      </w:r>
      <w:r w:rsidR="003239F1">
        <w:t xml:space="preserve"> in mining </w:t>
      </w:r>
      <w:r w:rsidR="001109A7">
        <w:t xml:space="preserve">has never been greater. </w:t>
      </w:r>
    </w:p>
    <w:p w:rsidR="006D1F82" w:rsidRDefault="00110D5D" w:rsidP="006D1F82">
      <w:r>
        <w:t>W</w:t>
      </w:r>
      <w:r w:rsidR="007B58BF">
        <w:t xml:space="preserve">ater management has long been a </w:t>
      </w:r>
      <w:r w:rsidR="00A70EFA">
        <w:t xml:space="preserve">focus </w:t>
      </w:r>
      <w:r w:rsidR="007B58BF">
        <w:t>in the mining sector</w:t>
      </w:r>
      <w:r w:rsidR="00E75A17">
        <w:t xml:space="preserve">, </w:t>
      </w:r>
      <w:r w:rsidR="00AB0CD9">
        <w:t>a</w:t>
      </w:r>
      <w:r w:rsidR="00E75A17">
        <w:t xml:space="preserve">ccording to </w:t>
      </w:r>
      <w:r w:rsidR="00E75A17" w:rsidRPr="00E75A17">
        <w:t xml:space="preserve">Lindsay Shand, </w:t>
      </w:r>
      <w:r w:rsidR="00E75A17">
        <w:t>a</w:t>
      </w:r>
      <w:r w:rsidR="00E75A17" w:rsidRPr="00E75A17">
        <w:t xml:space="preserve">ssociate </w:t>
      </w:r>
      <w:r w:rsidR="00E75A17">
        <w:t>p</w:t>
      </w:r>
      <w:r w:rsidR="00E75A17" w:rsidRPr="00E75A17">
        <w:t xml:space="preserve">artner and </w:t>
      </w:r>
      <w:r w:rsidR="00E75A17">
        <w:t>p</w:t>
      </w:r>
      <w:r w:rsidR="00E75A17" w:rsidRPr="00E75A17">
        <w:t xml:space="preserve">rincipal </w:t>
      </w:r>
      <w:r w:rsidR="00E75A17">
        <w:t>e</w:t>
      </w:r>
      <w:r w:rsidR="00E75A17" w:rsidRPr="00E75A17">
        <w:t xml:space="preserve">nvironmental </w:t>
      </w:r>
      <w:r w:rsidR="00E75A17">
        <w:t>g</w:t>
      </w:r>
      <w:r w:rsidR="00E75A17" w:rsidRPr="00E75A17">
        <w:t>eologist</w:t>
      </w:r>
      <w:r w:rsidR="00AB0CD9">
        <w:t xml:space="preserve"> at </w:t>
      </w:r>
      <w:r w:rsidR="00E75A17" w:rsidRPr="00E75A17">
        <w:t>SRK Consulting</w:t>
      </w:r>
      <w:r w:rsidR="00A70EFA">
        <w:t xml:space="preserve">. </w:t>
      </w:r>
      <w:r w:rsidR="00FF1A20">
        <w:t xml:space="preserve">In </w:t>
      </w:r>
      <w:r w:rsidR="00997D45">
        <w:t>2014, for instance, t</w:t>
      </w:r>
      <w:r w:rsidR="001E08D2">
        <w:t>h</w:t>
      </w:r>
      <w:r w:rsidR="00252859">
        <w:t>e International Council on Mining and Metals</w:t>
      </w:r>
      <w:r w:rsidR="00273634">
        <w:t xml:space="preserve">’ </w:t>
      </w:r>
      <w:r w:rsidR="00F34BA7">
        <w:t>water stewardship f</w:t>
      </w:r>
      <w:r w:rsidR="006D1F82" w:rsidRPr="006D1F82">
        <w:t>ramework outline</w:t>
      </w:r>
      <w:r w:rsidR="00F34BA7">
        <w:t xml:space="preserve">d </w:t>
      </w:r>
      <w:r w:rsidR="006D1F82" w:rsidRPr="006D1F82">
        <w:t xml:space="preserve">a standardised approach </w:t>
      </w:r>
      <w:r w:rsidR="00F34BA7">
        <w:t xml:space="preserve">for mining companies, </w:t>
      </w:r>
      <w:r w:rsidR="006D1F82" w:rsidRPr="006D1F82">
        <w:t>recognising that water connects an operation to the surrounding landscape and communities.</w:t>
      </w:r>
    </w:p>
    <w:p w:rsidR="008B7163" w:rsidRDefault="00AB0CD9" w:rsidP="00182DC5">
      <w:r>
        <w:t>“</w:t>
      </w:r>
      <w:r w:rsidR="00551D5F">
        <w:t>I</w:t>
      </w:r>
      <w:r w:rsidR="00E35A62">
        <w:t>n</w:t>
      </w:r>
      <w:r w:rsidR="00AB28AC">
        <w:t xml:space="preserve"> </w:t>
      </w:r>
      <w:r w:rsidR="008B5585">
        <w:t xml:space="preserve">our </w:t>
      </w:r>
      <w:r w:rsidR="00312B82">
        <w:t xml:space="preserve">past </w:t>
      </w:r>
      <w:r w:rsidR="000E6EFA">
        <w:t>work with mining clients</w:t>
      </w:r>
      <w:r w:rsidR="00E35A62">
        <w:t xml:space="preserve">, SRK </w:t>
      </w:r>
      <w:r w:rsidR="0052581F">
        <w:t xml:space="preserve">often </w:t>
      </w:r>
      <w:r w:rsidR="00312B82">
        <w:t xml:space="preserve">only </w:t>
      </w:r>
      <w:r w:rsidR="00AB28AC">
        <w:t>address</w:t>
      </w:r>
      <w:r w:rsidR="00312B82">
        <w:t>ed</w:t>
      </w:r>
      <w:r w:rsidR="00AB28AC">
        <w:t xml:space="preserve"> a particular challenge or project</w:t>
      </w:r>
      <w:r w:rsidR="003970E4">
        <w:t xml:space="preserve">, rather than </w:t>
      </w:r>
      <w:r w:rsidR="001F7CF7">
        <w:t xml:space="preserve">taking the </w:t>
      </w:r>
      <w:r w:rsidR="003970E4">
        <w:t xml:space="preserve">broader </w:t>
      </w:r>
      <w:r w:rsidR="001F7CF7">
        <w:t>view</w:t>
      </w:r>
      <w:r w:rsidR="0052581F">
        <w:t>,” said Shand. “</w:t>
      </w:r>
      <w:r w:rsidR="003970E4">
        <w:t>There is today</w:t>
      </w:r>
      <w:r w:rsidR="00551D5F">
        <w:t>, however,</w:t>
      </w:r>
      <w:r w:rsidR="003970E4">
        <w:t xml:space="preserve"> a growing </w:t>
      </w:r>
      <w:r w:rsidR="00AB28AC">
        <w:t xml:space="preserve">recognition </w:t>
      </w:r>
      <w:r w:rsidR="003970E4">
        <w:t xml:space="preserve">that a high-level, </w:t>
      </w:r>
      <w:r w:rsidR="00AB28AC">
        <w:t xml:space="preserve">concerted approach to water </w:t>
      </w:r>
      <w:r w:rsidR="001F7CF7">
        <w:t xml:space="preserve">stewardship is not only </w:t>
      </w:r>
      <w:r w:rsidR="005D7895">
        <w:t xml:space="preserve">the environmentally responsible route to take, but </w:t>
      </w:r>
      <w:r w:rsidR="003B032D">
        <w:t xml:space="preserve">also contributes to </w:t>
      </w:r>
      <w:r w:rsidR="005D7895">
        <w:t>building the</w:t>
      </w:r>
      <w:r w:rsidR="008B7163">
        <w:t xml:space="preserve"> resilience of the mining operation.</w:t>
      </w:r>
      <w:r w:rsidR="0052581F">
        <w:t>”</w:t>
      </w:r>
    </w:p>
    <w:p w:rsidR="008B7163" w:rsidRDefault="00D76A60" w:rsidP="00182DC5">
      <w:r>
        <w:t xml:space="preserve">This resilience </w:t>
      </w:r>
      <w:r w:rsidR="00490471">
        <w:t>lies in</w:t>
      </w:r>
      <w:r w:rsidR="00470FA2">
        <w:t xml:space="preserve"> the ability to identify and manage the myriad </w:t>
      </w:r>
      <w:r w:rsidR="00490471">
        <w:t xml:space="preserve">of </w:t>
      </w:r>
      <w:r w:rsidR="00287272">
        <w:t xml:space="preserve">water-related </w:t>
      </w:r>
      <w:r w:rsidR="00470FA2">
        <w:t xml:space="preserve">risks </w:t>
      </w:r>
      <w:r w:rsidR="00287272">
        <w:t>that operations face</w:t>
      </w:r>
      <w:r w:rsidR="00042CB8">
        <w:t xml:space="preserve">, she said. </w:t>
      </w:r>
      <w:r w:rsidR="00783BA7">
        <w:t xml:space="preserve">These might </w:t>
      </w:r>
      <w:r w:rsidR="00B8382A">
        <w:t>include</w:t>
      </w:r>
      <w:r w:rsidR="00783BA7">
        <w:t xml:space="preserve"> </w:t>
      </w:r>
      <w:r w:rsidR="007F6D52">
        <w:t xml:space="preserve">water supply uncertainty, </w:t>
      </w:r>
      <w:r w:rsidR="00B8382A">
        <w:t>compliance issues related to water quality,</w:t>
      </w:r>
      <w:r w:rsidR="007B2A84">
        <w:t xml:space="preserve"> and downstream discharge </w:t>
      </w:r>
      <w:r w:rsidR="00490471">
        <w:t>impacts</w:t>
      </w:r>
      <w:r w:rsidR="007B2A84">
        <w:t xml:space="preserve">. </w:t>
      </w:r>
      <w:r w:rsidR="00AB6AE8">
        <w:t xml:space="preserve">A water stewardship approach can </w:t>
      </w:r>
      <w:r w:rsidR="00A22D4C">
        <w:t>provide the foundation for pro-active plan</w:t>
      </w:r>
      <w:r w:rsidR="00BE428A">
        <w:t>ning and action to avoid inc</w:t>
      </w:r>
      <w:r w:rsidR="00E158C0">
        <w:t>idents that could threaten operational continuity or even viability</w:t>
      </w:r>
      <w:r w:rsidR="00490471">
        <w:t xml:space="preserve"> and present a liability to downstream water users</w:t>
      </w:r>
      <w:r w:rsidR="00E158C0">
        <w:t>.</w:t>
      </w:r>
    </w:p>
    <w:p w:rsidR="00543C9B" w:rsidRPr="00C52891" w:rsidRDefault="00543C9B" w:rsidP="00543C9B">
      <w:pPr>
        <w:rPr>
          <w:b/>
          <w:bCs/>
        </w:rPr>
      </w:pPr>
      <w:r>
        <w:rPr>
          <w:b/>
          <w:bCs/>
        </w:rPr>
        <w:t>Tools for progress</w:t>
      </w:r>
    </w:p>
    <w:p w:rsidR="00125110" w:rsidRDefault="00E766F9" w:rsidP="00F94082">
      <w:r>
        <w:t xml:space="preserve">While </w:t>
      </w:r>
      <w:r w:rsidR="00B64D99">
        <w:t xml:space="preserve">the focus </w:t>
      </w:r>
      <w:r w:rsidR="0002008F">
        <w:t xml:space="preserve">for </w:t>
      </w:r>
      <w:r w:rsidR="00E35A62">
        <w:t xml:space="preserve">mining </w:t>
      </w:r>
      <w:r w:rsidR="0002008F">
        <w:t>operations is</w:t>
      </w:r>
      <w:r w:rsidR="00B64D99">
        <w:t xml:space="preserve"> generally </w:t>
      </w:r>
      <w:r w:rsidR="0002008F">
        <w:t xml:space="preserve">on the </w:t>
      </w:r>
      <w:r w:rsidR="003C44FA">
        <w:t xml:space="preserve">specific challenge at hand, </w:t>
      </w:r>
      <w:r>
        <w:t xml:space="preserve">the </w:t>
      </w:r>
      <w:r w:rsidR="003C44FA">
        <w:t xml:space="preserve">larger corporations </w:t>
      </w:r>
      <w:r w:rsidR="00E627E3">
        <w:t xml:space="preserve">are starting to </w:t>
      </w:r>
      <w:r w:rsidR="00A13A0A">
        <w:t>see the value of the bigger picture on water-related issues</w:t>
      </w:r>
      <w:r w:rsidR="00125110">
        <w:t xml:space="preserve">, concurred </w:t>
      </w:r>
      <w:r w:rsidR="00511186" w:rsidRPr="00511186">
        <w:t xml:space="preserve">Fiona Sutton, </w:t>
      </w:r>
      <w:r w:rsidR="00511186">
        <w:t>p</w:t>
      </w:r>
      <w:r w:rsidR="00511186" w:rsidRPr="00511186">
        <w:t xml:space="preserve">rincipal </w:t>
      </w:r>
      <w:r w:rsidR="00511186">
        <w:t>c</w:t>
      </w:r>
      <w:r w:rsidR="00511186" w:rsidRPr="00511186">
        <w:t>onsultant</w:t>
      </w:r>
      <w:r w:rsidR="00511186">
        <w:t xml:space="preserve"> at</w:t>
      </w:r>
      <w:r w:rsidR="00511186" w:rsidRPr="00511186">
        <w:t xml:space="preserve"> SRK Consulting</w:t>
      </w:r>
      <w:r w:rsidR="00511186">
        <w:t>.</w:t>
      </w:r>
    </w:p>
    <w:p w:rsidR="00B26899" w:rsidRDefault="00511186" w:rsidP="00F94082">
      <w:r>
        <w:t>“</w:t>
      </w:r>
      <w:r w:rsidR="00F94082">
        <w:t xml:space="preserve">Often, the </w:t>
      </w:r>
      <w:r w:rsidR="003370CD">
        <w:t xml:space="preserve">scope and demands of </w:t>
      </w:r>
      <w:r w:rsidR="00F94082">
        <w:t xml:space="preserve">water stewardship </w:t>
      </w:r>
      <w:r w:rsidR="003370CD">
        <w:t>may seem a daunting prospect</w:t>
      </w:r>
      <w:r w:rsidR="00DE5747">
        <w:t xml:space="preserve"> at operational level</w:t>
      </w:r>
      <w:r>
        <w:t>,” said Sutton</w:t>
      </w:r>
      <w:r w:rsidR="00B26899">
        <w:t>.</w:t>
      </w:r>
      <w:r w:rsidR="00110D5D">
        <w:t xml:space="preserve"> </w:t>
      </w:r>
      <w:r>
        <w:t>“</w:t>
      </w:r>
      <w:r w:rsidR="00110D5D">
        <w:t>T</w:t>
      </w:r>
      <w:r w:rsidR="00B26899">
        <w:t xml:space="preserve">his is one </w:t>
      </w:r>
      <w:r w:rsidR="00AC69EF">
        <w:t xml:space="preserve">of the reasons why </w:t>
      </w:r>
      <w:r w:rsidR="00891576">
        <w:t>best practice tools are so useful, such as the International Water Stewardship Standard from the Alliance for Water Stewardship (AWS</w:t>
      </w:r>
      <w:r w:rsidR="00F447A6">
        <w:t>*</w:t>
      </w:r>
      <w:r w:rsidR="00891576">
        <w:t>)</w:t>
      </w:r>
      <w:r w:rsidR="00B26899">
        <w:t>.</w:t>
      </w:r>
      <w:r>
        <w:t>”</w:t>
      </w:r>
    </w:p>
    <w:p w:rsidR="00F94082" w:rsidRDefault="00511186" w:rsidP="00F94082">
      <w:r>
        <w:t xml:space="preserve">She highlighted that the </w:t>
      </w:r>
      <w:r w:rsidR="00543C9B">
        <w:t xml:space="preserve">AWS Standard offers a </w:t>
      </w:r>
      <w:r w:rsidR="00F447A6">
        <w:t>globally applicable</w:t>
      </w:r>
      <w:r w:rsidR="00543C9B">
        <w:t xml:space="preserve"> framework for major water users to understand their </w:t>
      </w:r>
      <w:r w:rsidR="00B734FB">
        <w:t xml:space="preserve">catchment and their </w:t>
      </w:r>
      <w:r w:rsidR="00543C9B">
        <w:t>own water use and impacts, with practical guidance on how to effectively manage these impacts</w:t>
      </w:r>
      <w:r w:rsidR="00110D5D">
        <w:t>.</w:t>
      </w:r>
    </w:p>
    <w:p w:rsidR="00422FC7" w:rsidRDefault="00511186" w:rsidP="00422FC7">
      <w:r>
        <w:t>“</w:t>
      </w:r>
      <w:r w:rsidR="00422FC7">
        <w:t>Practical steps and guidance in the AWS Standard help water users to improve their water practices for better on-site water performance, while also contributing to wider sustainability goals</w:t>
      </w:r>
      <w:r>
        <w:t xml:space="preserve">,” </w:t>
      </w:r>
      <w:r w:rsidR="00C935DB">
        <w:t>she said</w:t>
      </w:r>
      <w:r w:rsidR="00422FC7">
        <w:t xml:space="preserve">. </w:t>
      </w:r>
      <w:r w:rsidR="00C935DB">
        <w:t>“W</w:t>
      </w:r>
      <w:r w:rsidR="00422FC7">
        <w:t>ater crises are being exacerbated by climate change and are now acknowledged as societal risks due to their far-reaching consequences.</w:t>
      </w:r>
      <w:r w:rsidR="00C935DB">
        <w:t>”</w:t>
      </w:r>
    </w:p>
    <w:p w:rsidR="00D17087" w:rsidRPr="00D23466" w:rsidRDefault="00D17087" w:rsidP="00D17087">
      <w:pPr>
        <w:rPr>
          <w:b/>
          <w:bCs/>
        </w:rPr>
      </w:pPr>
      <w:r w:rsidRPr="00D23466">
        <w:rPr>
          <w:b/>
          <w:bCs/>
        </w:rPr>
        <w:t>Catchment care</w:t>
      </w:r>
    </w:p>
    <w:p w:rsidR="00465235" w:rsidRDefault="00D17087" w:rsidP="00465235">
      <w:r>
        <w:t xml:space="preserve">Water stewardship considers impacts not only </w:t>
      </w:r>
      <w:r w:rsidR="00D71589">
        <w:t>on the mine</w:t>
      </w:r>
      <w:r>
        <w:t xml:space="preserve"> site but in the wider catchment in which a mine operates</w:t>
      </w:r>
      <w:r w:rsidR="00CC3905">
        <w:t xml:space="preserve">, </w:t>
      </w:r>
      <w:r w:rsidR="00465235">
        <w:t>according to</w:t>
      </w:r>
      <w:r w:rsidR="00F976A1">
        <w:t xml:space="preserve"> Dr</w:t>
      </w:r>
      <w:r w:rsidR="00465235">
        <w:t xml:space="preserve"> </w:t>
      </w:r>
      <w:r w:rsidR="00465235" w:rsidRPr="00125110">
        <w:t xml:space="preserve">Simon Lorentz, </w:t>
      </w:r>
      <w:r w:rsidR="00465235">
        <w:t>p</w:t>
      </w:r>
      <w:r w:rsidR="00465235" w:rsidRPr="00125110">
        <w:t xml:space="preserve">rincipal </w:t>
      </w:r>
      <w:r w:rsidR="00465235">
        <w:t>h</w:t>
      </w:r>
      <w:r w:rsidR="00465235" w:rsidRPr="00125110">
        <w:t>ydrologist</w:t>
      </w:r>
      <w:r w:rsidR="00465235">
        <w:t xml:space="preserve"> at</w:t>
      </w:r>
      <w:r w:rsidR="00465235" w:rsidRPr="00125110">
        <w:t xml:space="preserve"> SRK Consulting</w:t>
      </w:r>
      <w:r w:rsidR="00465235">
        <w:t>.</w:t>
      </w:r>
    </w:p>
    <w:p w:rsidR="00D17087" w:rsidRDefault="00465235" w:rsidP="00D17087">
      <w:r>
        <w:t>“</w:t>
      </w:r>
      <w:r w:rsidR="00D17087">
        <w:t xml:space="preserve">Risks specific to the company can be direct, </w:t>
      </w:r>
      <w:r w:rsidR="00E544F7">
        <w:t xml:space="preserve">which </w:t>
      </w:r>
      <w:r w:rsidR="00490471">
        <w:t>disrupt</w:t>
      </w:r>
      <w:r w:rsidR="00D17087">
        <w:t xml:space="preserve"> </w:t>
      </w:r>
      <w:r w:rsidR="007B4257">
        <w:t>actual mining</w:t>
      </w:r>
      <w:r w:rsidR="00D17087">
        <w:t xml:space="preserve"> operations</w:t>
      </w:r>
      <w:r w:rsidR="00E544F7">
        <w:t>,</w:t>
      </w:r>
      <w:r w:rsidR="00D17087">
        <w:t xml:space="preserve"> </w:t>
      </w:r>
      <w:r w:rsidR="00E544F7">
        <w:t>such as the non-availability of water supply to manage operations like waste disposal</w:t>
      </w:r>
      <w:r>
        <w:t xml:space="preserve">,” </w:t>
      </w:r>
      <w:r w:rsidR="00243691">
        <w:t>said Lorentz</w:t>
      </w:r>
      <w:r w:rsidR="00D17087">
        <w:t xml:space="preserve">. </w:t>
      </w:r>
      <w:r w:rsidR="00243691">
        <w:t>“</w:t>
      </w:r>
      <w:r w:rsidR="00D17087">
        <w:t xml:space="preserve">They can also be indirect, </w:t>
      </w:r>
      <w:r w:rsidR="00E544F7">
        <w:t>where supply chains are disrupted due to water supply issues or poor water quality</w:t>
      </w:r>
      <w:r w:rsidR="00D17087">
        <w:t>.</w:t>
      </w:r>
      <w:r w:rsidR="00243691">
        <w:t>”</w:t>
      </w:r>
    </w:p>
    <w:p w:rsidR="00D17087" w:rsidRDefault="000520B9" w:rsidP="00D17087">
      <w:r>
        <w:t>He noted that c</w:t>
      </w:r>
      <w:r w:rsidR="00D17087">
        <w:t>atchment-specific risks are influenced by local water resource management and governance effectiveness in dealing with factors such as increasing demand and unpredictability driven by climate variability. They are also affected by local infrastructure adequacy, the amounts of pollution being disposed into water bodies, and the resulting quality of available water.</w:t>
      </w:r>
    </w:p>
    <w:p w:rsidR="00D17087" w:rsidRDefault="00243691" w:rsidP="00D17087">
      <w:r>
        <w:t>“</w:t>
      </w:r>
      <w:r w:rsidR="00D17087">
        <w:t xml:space="preserve">In one of our projects, we worked closely with a mine </w:t>
      </w:r>
      <w:r w:rsidR="007A64B6">
        <w:t xml:space="preserve">and the responsible authority </w:t>
      </w:r>
      <w:r w:rsidR="00D17087">
        <w:t xml:space="preserve">to ensure that the quality of the naturally saline groundwater from an open pit was </w:t>
      </w:r>
      <w:r w:rsidR="007A64B6">
        <w:t>an acceptable quality</w:t>
      </w:r>
      <w:r w:rsidR="00D17087">
        <w:t xml:space="preserve"> before being discharged from site</w:t>
      </w:r>
      <w:r>
        <w:t>,” said Shand</w:t>
      </w:r>
      <w:r w:rsidR="00D17087">
        <w:t xml:space="preserve">. </w:t>
      </w:r>
      <w:r>
        <w:t>“</w:t>
      </w:r>
      <w:r w:rsidR="00D17087">
        <w:t xml:space="preserve">This </w:t>
      </w:r>
      <w:r>
        <w:t xml:space="preserve">strategy was guided by </w:t>
      </w:r>
      <w:r w:rsidR="00D17087">
        <w:t xml:space="preserve">the presence of sensitive farming activity downstream of the </w:t>
      </w:r>
      <w:r w:rsidR="00F447A6">
        <w:t>mine and</w:t>
      </w:r>
      <w:r w:rsidR="007B6C3B">
        <w:t xml:space="preserve"> was made possible by taking </w:t>
      </w:r>
      <w:r w:rsidR="005C3990">
        <w:t>the broader water stewardship approach.”</w:t>
      </w:r>
    </w:p>
    <w:p w:rsidR="001C4326" w:rsidRPr="003A0420" w:rsidRDefault="001C4326" w:rsidP="001C4326">
      <w:pPr>
        <w:rPr>
          <w:b/>
          <w:bCs/>
        </w:rPr>
      </w:pPr>
      <w:r>
        <w:rPr>
          <w:b/>
          <w:bCs/>
        </w:rPr>
        <w:t>Strengthening reputations</w:t>
      </w:r>
    </w:p>
    <w:p w:rsidR="001C4326" w:rsidRDefault="001C4326" w:rsidP="001C4326">
      <w:r>
        <w:t>The central position of water in many of the United Nation’s Sustainable Development Goals (SDGs) is another reason why many mining companies are starting to embrace water stewardship more systematically</w:t>
      </w:r>
      <w:r w:rsidR="005C3990">
        <w:t xml:space="preserve">, said </w:t>
      </w:r>
      <w:r w:rsidR="006447CA">
        <w:t>Sutton.</w:t>
      </w:r>
      <w:r>
        <w:t xml:space="preserve"> Many corporates align their strategies with the SDGs, and many of those are relevant to water. While Goal 6 on Clean Water and Sanitation is key, others that depend on access to water include No Poverty, Zero Hunger, Good Health &amp; Well-being, Sustainable Cities &amp; Communities, and Life Below Water.</w:t>
      </w:r>
    </w:p>
    <w:p w:rsidR="006447CA" w:rsidRDefault="006447CA" w:rsidP="001C4326">
      <w:r>
        <w:t>“</w:t>
      </w:r>
      <w:r w:rsidR="001C4326">
        <w:t>An added advantage of the AWS Standard is that it allows mines to be accredited once they have met the detailed range of requirements</w:t>
      </w:r>
      <w:r>
        <w:t>,” she said. “</w:t>
      </w:r>
      <w:r w:rsidR="001C4326">
        <w:t>This is valuable in terms of companies’ reputations – whether in the eyes of investors, financial institutions, regulators or the general public.</w:t>
      </w:r>
      <w:r>
        <w:t>”</w:t>
      </w:r>
    </w:p>
    <w:p w:rsidR="006447CA" w:rsidRPr="00620F9A" w:rsidRDefault="006447CA" w:rsidP="001C4326">
      <w:pPr>
        <w:rPr>
          <w:b/>
          <w:bCs/>
        </w:rPr>
      </w:pPr>
      <w:r w:rsidRPr="00620F9A">
        <w:rPr>
          <w:b/>
          <w:bCs/>
        </w:rPr>
        <w:t xml:space="preserve">Credible </w:t>
      </w:r>
      <w:r w:rsidR="00620F9A">
        <w:rPr>
          <w:b/>
          <w:bCs/>
        </w:rPr>
        <w:t>benchmark</w:t>
      </w:r>
    </w:p>
    <w:p w:rsidR="001C4326" w:rsidRDefault="001C4326" w:rsidP="001C4326">
      <w:r>
        <w:t>T</w:t>
      </w:r>
      <w:r w:rsidRPr="00030025">
        <w:t>he AWS</w:t>
      </w:r>
      <w:r>
        <w:t xml:space="preserve">’s position as </w:t>
      </w:r>
      <w:r w:rsidRPr="00030025">
        <w:t>a member of ISEAL</w:t>
      </w:r>
      <w:r>
        <w:t xml:space="preserve"> assures stakeholders that </w:t>
      </w:r>
      <w:r w:rsidRPr="00030025">
        <w:t xml:space="preserve">its water stewardship framework </w:t>
      </w:r>
      <w:r>
        <w:t xml:space="preserve">has been reviewed by an independent and competent body. The framework and the accreditation therefore provide a </w:t>
      </w:r>
      <w:r w:rsidRPr="00030025">
        <w:t>credible</w:t>
      </w:r>
      <w:r>
        <w:t xml:space="preserve"> benchmark that can be trusted as a true indication of commitment</w:t>
      </w:r>
      <w:r w:rsidRPr="00030025">
        <w:t xml:space="preserve">. </w:t>
      </w:r>
    </w:p>
    <w:p w:rsidR="00965A4D" w:rsidRDefault="00B25200" w:rsidP="00422FC7">
      <w:r>
        <w:t xml:space="preserve">“SRK’s decades of experience in the mining sector, combined with its </w:t>
      </w:r>
      <w:r w:rsidR="00F517F7">
        <w:t xml:space="preserve">depth of expertise in water-related disciplines, </w:t>
      </w:r>
      <w:r w:rsidR="00F9424F">
        <w:t>positions us well to guide mining companies in their water stewardship journey,” said S</w:t>
      </w:r>
      <w:r w:rsidR="008E5575">
        <w:t>hand</w:t>
      </w:r>
      <w:r w:rsidR="00F9424F">
        <w:t>.</w:t>
      </w:r>
    </w:p>
    <w:p w:rsidR="00D724B0" w:rsidRDefault="00D724B0" w:rsidP="00422FC7"/>
    <w:p w:rsidR="00950E4F" w:rsidRPr="00950E4F" w:rsidRDefault="00950E4F" w:rsidP="00422FC7">
      <w:pPr>
        <w:rPr>
          <w:i/>
          <w:iCs/>
        </w:rPr>
      </w:pPr>
      <w:r w:rsidRPr="00950E4F">
        <w:rPr>
          <w:i/>
          <w:iCs/>
        </w:rPr>
        <w:t>Words: 782</w:t>
      </w:r>
    </w:p>
    <w:p w:rsidR="00950E4F" w:rsidRDefault="00950E4F" w:rsidP="00422FC7"/>
    <w:p w:rsidR="00554371" w:rsidRPr="002A63AD" w:rsidRDefault="002A63AD" w:rsidP="00422FC7">
      <w:pPr>
        <w:rPr>
          <w:i/>
          <w:iCs/>
        </w:rPr>
      </w:pPr>
      <w:r w:rsidRPr="002A63AD">
        <w:rPr>
          <w:i/>
          <w:iCs/>
        </w:rPr>
        <w:t>[</w:t>
      </w:r>
      <w:r w:rsidR="00554371" w:rsidRPr="002A63AD">
        <w:rPr>
          <w:i/>
          <w:iCs/>
        </w:rPr>
        <w:t>Side-bar</w:t>
      </w:r>
      <w:r w:rsidRPr="002A63AD">
        <w:rPr>
          <w:i/>
          <w:iCs/>
        </w:rPr>
        <w:t>]</w:t>
      </w:r>
    </w:p>
    <w:p w:rsidR="002A63AD" w:rsidRPr="002A63AD" w:rsidRDefault="002A63AD" w:rsidP="002A63AD">
      <w:pPr>
        <w:rPr>
          <w:b/>
          <w:bCs/>
          <w:sz w:val="24"/>
          <w:szCs w:val="24"/>
        </w:rPr>
      </w:pPr>
      <w:r w:rsidRPr="002A63AD">
        <w:rPr>
          <w:b/>
          <w:bCs/>
          <w:sz w:val="24"/>
          <w:szCs w:val="24"/>
        </w:rPr>
        <w:t>Covering the bases</w:t>
      </w:r>
    </w:p>
    <w:p w:rsidR="00447406" w:rsidRDefault="002D5D99" w:rsidP="002A63AD">
      <w:r>
        <w:t xml:space="preserve">Applying the principles of water stewardship on mines </w:t>
      </w:r>
      <w:r w:rsidR="00B96966">
        <w:t>involves a range of considerations – both regulatory and strategic. On a recent project</w:t>
      </w:r>
      <w:r w:rsidR="0013099A">
        <w:t xml:space="preserve"> in which SRK Consulting was involved, </w:t>
      </w:r>
      <w:r w:rsidR="004A0F7E">
        <w:t xml:space="preserve">the process involved the following among the various relevant </w:t>
      </w:r>
      <w:r w:rsidR="00447406">
        <w:t xml:space="preserve">areas to be covered. </w:t>
      </w:r>
    </w:p>
    <w:p w:rsidR="008D3E20" w:rsidRDefault="002A63AD" w:rsidP="002A63AD">
      <w:pPr>
        <w:pStyle w:val="ListParagraph"/>
        <w:numPr>
          <w:ilvl w:val="0"/>
          <w:numId w:val="1"/>
        </w:numPr>
      </w:pPr>
      <w:r>
        <w:t xml:space="preserve">Water </w:t>
      </w:r>
      <w:r w:rsidR="00AB7D60">
        <w:t>u</w:t>
      </w:r>
      <w:r>
        <w:t xml:space="preserve">se </w:t>
      </w:r>
      <w:r w:rsidR="00AB7D60">
        <w:t>l</w:t>
      </w:r>
      <w:r>
        <w:t>icensing</w:t>
      </w:r>
      <w:r w:rsidR="00447406">
        <w:t xml:space="preserve"> – a regulatory requirement </w:t>
      </w:r>
      <w:r w:rsidR="00422E8A">
        <w:t>which now also includes the need to consider climate change impacts</w:t>
      </w:r>
    </w:p>
    <w:p w:rsidR="008D3E20" w:rsidRDefault="002A63AD" w:rsidP="002A63AD">
      <w:pPr>
        <w:pStyle w:val="ListParagraph"/>
        <w:numPr>
          <w:ilvl w:val="0"/>
          <w:numId w:val="1"/>
        </w:numPr>
      </w:pPr>
      <w:r>
        <w:t>Reduced water consumption</w:t>
      </w:r>
      <w:r w:rsidR="007A64B6">
        <w:t xml:space="preserve"> alternatives</w:t>
      </w:r>
    </w:p>
    <w:p w:rsidR="008D3E20" w:rsidRDefault="002A63AD" w:rsidP="002A63AD">
      <w:pPr>
        <w:pStyle w:val="ListParagraph"/>
        <w:numPr>
          <w:ilvl w:val="0"/>
          <w:numId w:val="1"/>
        </w:numPr>
      </w:pPr>
      <w:r>
        <w:t xml:space="preserve">Water </w:t>
      </w:r>
      <w:r w:rsidR="008D3E20">
        <w:t>q</w:t>
      </w:r>
      <w:r>
        <w:t xml:space="preserve">uality </w:t>
      </w:r>
      <w:r w:rsidR="008D3E20">
        <w:t>m</w:t>
      </w:r>
      <w:r>
        <w:t>onitoring</w:t>
      </w:r>
      <w:r w:rsidR="008D3E20">
        <w:t xml:space="preserve"> </w:t>
      </w:r>
    </w:p>
    <w:p w:rsidR="00364311" w:rsidRDefault="00050CCA" w:rsidP="002A63AD">
      <w:pPr>
        <w:pStyle w:val="ListParagraph"/>
        <w:numPr>
          <w:ilvl w:val="0"/>
          <w:numId w:val="1"/>
        </w:numPr>
      </w:pPr>
      <w:r>
        <w:t>Challenges arising from the salinity of d</w:t>
      </w:r>
      <w:r w:rsidR="002A63AD">
        <w:t xml:space="preserve">ischarge </w:t>
      </w:r>
      <w:r>
        <w:t>water –</w:t>
      </w:r>
      <w:r w:rsidR="00FD5B6F">
        <w:t xml:space="preserve"> </w:t>
      </w:r>
      <w:r w:rsidR="00364311">
        <w:t>consider</w:t>
      </w:r>
      <w:r w:rsidR="00FD5B6F">
        <w:t xml:space="preserve">ing </w:t>
      </w:r>
      <w:r w:rsidR="00364311">
        <w:t>u</w:t>
      </w:r>
      <w:r w:rsidR="002A63AD">
        <w:t>pstream water quality conditions</w:t>
      </w:r>
      <w:r w:rsidR="00364311">
        <w:t xml:space="preserve"> and d</w:t>
      </w:r>
      <w:r w:rsidR="002A63AD">
        <w:t>ownstream water user</w:t>
      </w:r>
      <w:r w:rsidR="00FD5B6F">
        <w:t>s</w:t>
      </w:r>
    </w:p>
    <w:p w:rsidR="002A63AD" w:rsidRDefault="002A63AD" w:rsidP="002A63AD">
      <w:pPr>
        <w:pStyle w:val="ListParagraph"/>
        <w:numPr>
          <w:ilvl w:val="0"/>
          <w:numId w:val="1"/>
        </w:numPr>
      </w:pPr>
      <w:r>
        <w:t>Public consultation and disclosure</w:t>
      </w:r>
      <w:r w:rsidR="00364311">
        <w:t xml:space="preserve"> –</w:t>
      </w:r>
      <w:r w:rsidR="00F43075">
        <w:t xml:space="preserve"> including </w:t>
      </w:r>
      <w:r w:rsidR="00CB0872">
        <w:t>a community</w:t>
      </w:r>
      <w:r>
        <w:t xml:space="preserve"> water supply project</w:t>
      </w:r>
    </w:p>
    <w:p w:rsidR="00D83E94" w:rsidRDefault="00D83E94" w:rsidP="00D83E94"/>
    <w:p w:rsidR="00D83E94" w:rsidRPr="00D83E94" w:rsidRDefault="00D83E94" w:rsidP="00D83E94">
      <w:pPr>
        <w:rPr>
          <w:b/>
          <w:bCs/>
        </w:rPr>
      </w:pPr>
      <w:r w:rsidRPr="00D83E94">
        <w:rPr>
          <w:b/>
          <w:bCs/>
        </w:rPr>
        <w:t>Images and captions:</w:t>
      </w:r>
    </w:p>
    <w:p w:rsidR="00D83E94" w:rsidRDefault="00D83E94" w:rsidP="00D83E94">
      <w:r>
        <w:rPr>
          <w:noProof/>
          <w:lang w:val="en-US"/>
        </w:rPr>
        <w:drawing>
          <wp:inline distT="0" distB="0" distL="0" distR="0">
            <wp:extent cx="5318760" cy="299172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5320586" cy="2992756"/>
                    </a:xfrm>
                    <a:prstGeom prst="rect">
                      <a:avLst/>
                    </a:prstGeom>
                  </pic:spPr>
                </pic:pic>
              </a:graphicData>
            </a:graphic>
          </wp:inline>
        </w:drawing>
      </w:r>
    </w:p>
    <w:p w:rsidR="00AA6E83" w:rsidRDefault="00D83E94" w:rsidP="00B1678C">
      <w:r>
        <w:t>A</w:t>
      </w:r>
      <w:r w:rsidRPr="00D83E94">
        <w:t xml:space="preserve"> site in a catchment taking cognizance of the effects of upstream activities on a site (red triangle) as well as the potential impact of site operations on downstream water users</w:t>
      </w:r>
    </w:p>
    <w:p w:rsidR="00F976A1" w:rsidRDefault="00F976A1" w:rsidP="00B1678C"/>
    <w:p w:rsidR="00F976A1" w:rsidRDefault="00F976A1" w:rsidP="00B1678C"/>
    <w:p w:rsidR="00F976A1" w:rsidRDefault="00F976A1" w:rsidP="00B1678C">
      <w:r>
        <w:rPr>
          <w:noProof/>
          <w:lang w:val="en-US"/>
        </w:rPr>
        <w:drawing>
          <wp:inline distT="0" distB="0" distL="0" distR="0">
            <wp:extent cx="1919150" cy="2880000"/>
            <wp:effectExtent l="19050" t="0" r="4900" b="0"/>
            <wp:docPr id="2" name="Picture 1" descr="Lindsay S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say Shand.jpg"/>
                    <pic:cNvPicPr/>
                  </pic:nvPicPr>
                  <pic:blipFill>
                    <a:blip r:embed="rId8" cstate="print"/>
                    <a:stretch>
                      <a:fillRect/>
                    </a:stretch>
                  </pic:blipFill>
                  <pic:spPr>
                    <a:xfrm>
                      <a:off x="0" y="0"/>
                      <a:ext cx="1919150" cy="2880000"/>
                    </a:xfrm>
                    <a:prstGeom prst="rect">
                      <a:avLst/>
                    </a:prstGeom>
                  </pic:spPr>
                </pic:pic>
              </a:graphicData>
            </a:graphic>
          </wp:inline>
        </w:drawing>
      </w:r>
    </w:p>
    <w:p w:rsidR="00F976A1" w:rsidRDefault="00F976A1" w:rsidP="00B1678C">
      <w:r w:rsidRPr="00E75A17">
        <w:t xml:space="preserve">Lindsay Shand, </w:t>
      </w:r>
      <w:r>
        <w:t>a</w:t>
      </w:r>
      <w:r w:rsidRPr="00E75A17">
        <w:t xml:space="preserve">ssociate </w:t>
      </w:r>
      <w:r>
        <w:t>p</w:t>
      </w:r>
      <w:r w:rsidRPr="00E75A17">
        <w:t xml:space="preserve">artner and </w:t>
      </w:r>
      <w:r>
        <w:t>p</w:t>
      </w:r>
      <w:r w:rsidRPr="00E75A17">
        <w:t xml:space="preserve">rincipal </w:t>
      </w:r>
      <w:r>
        <w:t>e</w:t>
      </w:r>
      <w:r w:rsidRPr="00E75A17">
        <w:t xml:space="preserve">nvironmental </w:t>
      </w:r>
      <w:r>
        <w:t>g</w:t>
      </w:r>
      <w:r w:rsidRPr="00E75A17">
        <w:t>eologist</w:t>
      </w:r>
      <w:r>
        <w:t xml:space="preserve"> at </w:t>
      </w:r>
      <w:r w:rsidRPr="00E75A17">
        <w:t>SRK Consulting</w:t>
      </w:r>
    </w:p>
    <w:p w:rsidR="00F976A1" w:rsidRDefault="00F976A1" w:rsidP="00B1678C"/>
    <w:p w:rsidR="00F976A1" w:rsidRDefault="00F976A1" w:rsidP="00B1678C">
      <w:r>
        <w:rPr>
          <w:noProof/>
          <w:lang w:val="en-US"/>
        </w:rPr>
        <w:drawing>
          <wp:inline distT="0" distB="0" distL="0" distR="0">
            <wp:extent cx="1919605" cy="2880684"/>
            <wp:effectExtent l="19050" t="0" r="4445" b="0"/>
            <wp:docPr id="3" name="Picture 2" descr="Dr Simon Lorentz SRK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Simon Lorentz SRK Consulting.JPG"/>
                    <pic:cNvPicPr/>
                  </pic:nvPicPr>
                  <pic:blipFill>
                    <a:blip r:embed="rId9" cstate="print"/>
                    <a:stretch>
                      <a:fillRect/>
                    </a:stretch>
                  </pic:blipFill>
                  <pic:spPr>
                    <a:xfrm>
                      <a:off x="0" y="0"/>
                      <a:ext cx="1919361" cy="2880318"/>
                    </a:xfrm>
                    <a:prstGeom prst="rect">
                      <a:avLst/>
                    </a:prstGeom>
                  </pic:spPr>
                </pic:pic>
              </a:graphicData>
            </a:graphic>
          </wp:inline>
        </w:drawing>
      </w:r>
    </w:p>
    <w:p w:rsidR="00D83E94" w:rsidRDefault="00F976A1" w:rsidP="00B1678C">
      <w:r>
        <w:t xml:space="preserve">Dr </w:t>
      </w:r>
      <w:r w:rsidRPr="00125110">
        <w:t xml:space="preserve">Simon Lorentz, </w:t>
      </w:r>
      <w:r>
        <w:t>p</w:t>
      </w:r>
      <w:r w:rsidRPr="00125110">
        <w:t xml:space="preserve">rincipal </w:t>
      </w:r>
      <w:r>
        <w:t>h</w:t>
      </w:r>
      <w:r w:rsidRPr="00125110">
        <w:t>ydrologist</w:t>
      </w:r>
      <w:r>
        <w:t xml:space="preserve"> at</w:t>
      </w:r>
      <w:r w:rsidRPr="00125110">
        <w:t xml:space="preserve"> SRK Consulting</w:t>
      </w:r>
    </w:p>
    <w:p w:rsidR="00F976A1" w:rsidRDefault="00F976A1" w:rsidP="00B1678C">
      <w:r>
        <w:rPr>
          <w:noProof/>
          <w:lang w:val="en-US"/>
        </w:rPr>
        <w:drawing>
          <wp:inline distT="0" distB="0" distL="0" distR="0">
            <wp:extent cx="4310925" cy="2880000"/>
            <wp:effectExtent l="19050" t="0" r="0" b="0"/>
            <wp:docPr id="4" name="Picture 3" descr="Fiona Sutt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Sutton 2.jpg"/>
                    <pic:cNvPicPr/>
                  </pic:nvPicPr>
                  <pic:blipFill>
                    <a:blip r:embed="rId10" cstate="print"/>
                    <a:stretch>
                      <a:fillRect/>
                    </a:stretch>
                  </pic:blipFill>
                  <pic:spPr>
                    <a:xfrm>
                      <a:off x="0" y="0"/>
                      <a:ext cx="4310925" cy="2880000"/>
                    </a:xfrm>
                    <a:prstGeom prst="rect">
                      <a:avLst/>
                    </a:prstGeom>
                  </pic:spPr>
                </pic:pic>
              </a:graphicData>
            </a:graphic>
          </wp:inline>
        </w:drawing>
      </w:r>
    </w:p>
    <w:p w:rsidR="00F976A1" w:rsidRDefault="00F976A1" w:rsidP="00B1678C">
      <w:r w:rsidRPr="00511186">
        <w:t xml:space="preserve">Fiona Sutton, </w:t>
      </w:r>
      <w:r>
        <w:t>p</w:t>
      </w:r>
      <w:r w:rsidRPr="00511186">
        <w:t xml:space="preserve">rincipal </w:t>
      </w:r>
      <w:r>
        <w:t>c</w:t>
      </w:r>
      <w:r w:rsidRPr="00511186">
        <w:t>onsultant</w:t>
      </w:r>
      <w:r>
        <w:t xml:space="preserve"> at</w:t>
      </w:r>
      <w:r w:rsidRPr="00511186">
        <w:t xml:space="preserve"> SRK Consulting</w:t>
      </w:r>
    </w:p>
    <w:p w:rsidR="00D53FFB" w:rsidRDefault="00D53FFB" w:rsidP="00B1678C"/>
    <w:p w:rsidR="00D53FFB" w:rsidRPr="00D53FFB" w:rsidRDefault="00D53FFB" w:rsidP="00D53FFB">
      <w:pPr>
        <w:rPr>
          <w:b/>
          <w:i/>
        </w:rPr>
      </w:pPr>
      <w:bookmarkStart w:id="0" w:name="_GoBack"/>
      <w:r w:rsidRPr="00D53FFB">
        <w:rPr>
          <w:b/>
          <w:i/>
        </w:rPr>
        <w:t xml:space="preserve">About SRK </w:t>
      </w:r>
    </w:p>
    <w:p w:rsidR="00D53FFB" w:rsidRPr="00D53FFB" w:rsidRDefault="00D53FFB" w:rsidP="00D53FFB">
      <w:pPr>
        <w:rPr>
          <w:i/>
        </w:rPr>
      </w:pPr>
      <w:r w:rsidRPr="00D53FFB">
        <w:rPr>
          <w:i/>
        </w:rPr>
        <w:t>SRK is an independent, global network of over 45 consulting practices on six continents. Its experienced engineers and scientists work with clients in multi-disciplinary teams to deliver integrated, sustainable technical solutions across a range of sectors – mining, water, environment, infrastructure and energy. For more information, visit www.srk.co.za</w:t>
      </w:r>
    </w:p>
    <w:bookmarkEnd w:id="0"/>
    <w:p w:rsidR="00D53FFB" w:rsidRDefault="00D53FFB" w:rsidP="00B1678C"/>
    <w:p w:rsidR="00D83E94" w:rsidRDefault="00D83E94" w:rsidP="00B1678C"/>
    <w:sectPr w:rsidR="00D83E94" w:rsidSect="00AB3A02">
      <w:footerReference w:type="default" r:id="rId11"/>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36" w:rsidRDefault="00333536" w:rsidP="00182DC5">
      <w:pPr>
        <w:spacing w:after="0" w:line="240" w:lineRule="auto"/>
      </w:pPr>
      <w:r>
        <w:separator/>
      </w:r>
    </w:p>
  </w:endnote>
  <w:endnote w:type="continuationSeparator" w:id="0">
    <w:p w:rsidR="00333536" w:rsidRDefault="00333536" w:rsidP="00182DC5">
      <w:pPr>
        <w:spacing w:after="0" w:line="240" w:lineRule="auto"/>
      </w:pPr>
      <w:r>
        <w:continuationSeparator/>
      </w:r>
    </w:p>
  </w:endnote>
  <w:endnote w:type="continuationNotice" w:id="1">
    <w:p w:rsidR="00333536" w:rsidRDefault="0033353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Calibri Light">
    <w:altName w:val="Cambria"/>
    <w:charset w:val="00"/>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8B" w:rsidRPr="00F447A6" w:rsidRDefault="00F447A6" w:rsidP="00F447A6">
    <w:pPr>
      <w:pStyle w:val="Footer"/>
      <w:numPr>
        <w:ilvl w:val="0"/>
        <w:numId w:val="2"/>
      </w:numPr>
      <w:rPr>
        <w:sz w:val="16"/>
        <w:szCs w:val="16"/>
        <w:lang w:val="en-US"/>
      </w:rPr>
    </w:pPr>
    <w:r w:rsidRPr="00F447A6">
      <w:rPr>
        <w:sz w:val="16"/>
        <w:szCs w:val="16"/>
        <w:lang w:val="en-US"/>
      </w:rPr>
      <w:t>The content herein is the author’s opinion and not published on behalf of the Alliance for Water Stewardship (AWS). The author holds an AWS Professional Credential and this piece of publishing helps fulfil their Continuing Contribution Units requirements. For more information about AWS or the AWS Professional Credentialing Program please visit https://a4ws.org/.</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36" w:rsidRDefault="00333536" w:rsidP="00182DC5">
      <w:pPr>
        <w:spacing w:after="0" w:line="240" w:lineRule="auto"/>
      </w:pPr>
      <w:r>
        <w:separator/>
      </w:r>
    </w:p>
  </w:footnote>
  <w:footnote w:type="continuationSeparator" w:id="0">
    <w:p w:rsidR="00333536" w:rsidRDefault="00333536" w:rsidP="00182DC5">
      <w:pPr>
        <w:spacing w:after="0" w:line="240" w:lineRule="auto"/>
      </w:pPr>
      <w:r>
        <w:continuationSeparator/>
      </w:r>
    </w:p>
  </w:footnote>
  <w:footnote w:type="continuationNotice" w:id="1">
    <w:p w:rsidR="00333536" w:rsidRDefault="00333536">
      <w:pPr>
        <w:spacing w:after="0" w:line="240" w:lineRule="auto"/>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83FE3"/>
    <w:multiLevelType w:val="hybridMultilevel"/>
    <w:tmpl w:val="281865B6"/>
    <w:lvl w:ilvl="0" w:tplc="C3C2A07C">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AFF558F"/>
    <w:multiLevelType w:val="hybridMultilevel"/>
    <w:tmpl w:val="536A8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 w:id="1"/>
  </w:footnotePr>
  <w:endnotePr>
    <w:endnote w:id="-1"/>
    <w:endnote w:id="0"/>
    <w:endnote w:id="1"/>
  </w:endnotePr>
  <w:compat/>
  <w:rsids>
    <w:rsidRoot w:val="00B1678C"/>
    <w:rsid w:val="000167E7"/>
    <w:rsid w:val="0002008F"/>
    <w:rsid w:val="00030025"/>
    <w:rsid w:val="00033718"/>
    <w:rsid w:val="00042CB8"/>
    <w:rsid w:val="00050CCA"/>
    <w:rsid w:val="000520B9"/>
    <w:rsid w:val="00060BFF"/>
    <w:rsid w:val="00063B04"/>
    <w:rsid w:val="00067904"/>
    <w:rsid w:val="0009601F"/>
    <w:rsid w:val="000B21C2"/>
    <w:rsid w:val="000C0908"/>
    <w:rsid w:val="000C6F0E"/>
    <w:rsid w:val="000C7DA3"/>
    <w:rsid w:val="000D0FA0"/>
    <w:rsid w:val="000D695C"/>
    <w:rsid w:val="000E691A"/>
    <w:rsid w:val="000E6EFA"/>
    <w:rsid w:val="000F1EAE"/>
    <w:rsid w:val="001109A7"/>
    <w:rsid w:val="00110D5D"/>
    <w:rsid w:val="00112761"/>
    <w:rsid w:val="00125110"/>
    <w:rsid w:val="0013099A"/>
    <w:rsid w:val="00140C55"/>
    <w:rsid w:val="0017498B"/>
    <w:rsid w:val="001819DA"/>
    <w:rsid w:val="00182DC5"/>
    <w:rsid w:val="001A3F34"/>
    <w:rsid w:val="001A77E3"/>
    <w:rsid w:val="001C2DDE"/>
    <w:rsid w:val="001C4326"/>
    <w:rsid w:val="001C61A5"/>
    <w:rsid w:val="001E08D2"/>
    <w:rsid w:val="001F7CF7"/>
    <w:rsid w:val="002021DC"/>
    <w:rsid w:val="002043C5"/>
    <w:rsid w:val="00243691"/>
    <w:rsid w:val="00251C3A"/>
    <w:rsid w:val="00252859"/>
    <w:rsid w:val="00267F70"/>
    <w:rsid w:val="002701AA"/>
    <w:rsid w:val="00272C4D"/>
    <w:rsid w:val="00273634"/>
    <w:rsid w:val="00276F2A"/>
    <w:rsid w:val="00286729"/>
    <w:rsid w:val="00287272"/>
    <w:rsid w:val="002951A3"/>
    <w:rsid w:val="002A0C23"/>
    <w:rsid w:val="002A5BDC"/>
    <w:rsid w:val="002A63AD"/>
    <w:rsid w:val="002B1A78"/>
    <w:rsid w:val="002C6AA1"/>
    <w:rsid w:val="002D32B4"/>
    <w:rsid w:val="002D5D99"/>
    <w:rsid w:val="002D7FE4"/>
    <w:rsid w:val="00312B82"/>
    <w:rsid w:val="003145D1"/>
    <w:rsid w:val="003239F1"/>
    <w:rsid w:val="00333536"/>
    <w:rsid w:val="00335962"/>
    <w:rsid w:val="003370CD"/>
    <w:rsid w:val="00347076"/>
    <w:rsid w:val="003538C5"/>
    <w:rsid w:val="00364311"/>
    <w:rsid w:val="00364440"/>
    <w:rsid w:val="003970E4"/>
    <w:rsid w:val="003A0420"/>
    <w:rsid w:val="003B032D"/>
    <w:rsid w:val="003C27C6"/>
    <w:rsid w:val="003C44FA"/>
    <w:rsid w:val="003D146F"/>
    <w:rsid w:val="00405E82"/>
    <w:rsid w:val="00405FE2"/>
    <w:rsid w:val="00406EE2"/>
    <w:rsid w:val="00422E8A"/>
    <w:rsid w:val="00422FC7"/>
    <w:rsid w:val="00437091"/>
    <w:rsid w:val="00437729"/>
    <w:rsid w:val="00447406"/>
    <w:rsid w:val="00450242"/>
    <w:rsid w:val="00452630"/>
    <w:rsid w:val="00457BF5"/>
    <w:rsid w:val="00465235"/>
    <w:rsid w:val="00470FA2"/>
    <w:rsid w:val="00483A30"/>
    <w:rsid w:val="00490471"/>
    <w:rsid w:val="00494C17"/>
    <w:rsid w:val="00496381"/>
    <w:rsid w:val="004A0F7E"/>
    <w:rsid w:val="004A60DD"/>
    <w:rsid w:val="004C6ABA"/>
    <w:rsid w:val="004E0596"/>
    <w:rsid w:val="00511186"/>
    <w:rsid w:val="00515BF8"/>
    <w:rsid w:val="00524D43"/>
    <w:rsid w:val="0052581F"/>
    <w:rsid w:val="005259DB"/>
    <w:rsid w:val="005335E0"/>
    <w:rsid w:val="00540C2B"/>
    <w:rsid w:val="005416F0"/>
    <w:rsid w:val="00543C9B"/>
    <w:rsid w:val="00551D5F"/>
    <w:rsid w:val="00554371"/>
    <w:rsid w:val="00562C6E"/>
    <w:rsid w:val="0058602D"/>
    <w:rsid w:val="005B6A05"/>
    <w:rsid w:val="005C3990"/>
    <w:rsid w:val="005D7895"/>
    <w:rsid w:val="005E2C2E"/>
    <w:rsid w:val="005F1550"/>
    <w:rsid w:val="00601614"/>
    <w:rsid w:val="00605B22"/>
    <w:rsid w:val="00620F9A"/>
    <w:rsid w:val="0063718E"/>
    <w:rsid w:val="0064041E"/>
    <w:rsid w:val="006447CA"/>
    <w:rsid w:val="006459B0"/>
    <w:rsid w:val="00660828"/>
    <w:rsid w:val="00660B56"/>
    <w:rsid w:val="006743AB"/>
    <w:rsid w:val="00674C59"/>
    <w:rsid w:val="00687CB5"/>
    <w:rsid w:val="006B471A"/>
    <w:rsid w:val="006B4A64"/>
    <w:rsid w:val="006C150E"/>
    <w:rsid w:val="006D1F82"/>
    <w:rsid w:val="006E0C9B"/>
    <w:rsid w:val="006F4BC0"/>
    <w:rsid w:val="00707DBA"/>
    <w:rsid w:val="00713050"/>
    <w:rsid w:val="00742890"/>
    <w:rsid w:val="0075161A"/>
    <w:rsid w:val="00783BA7"/>
    <w:rsid w:val="00796221"/>
    <w:rsid w:val="007A64B6"/>
    <w:rsid w:val="007B2A84"/>
    <w:rsid w:val="007B4257"/>
    <w:rsid w:val="007B58BF"/>
    <w:rsid w:val="007B6C3B"/>
    <w:rsid w:val="007C2EFA"/>
    <w:rsid w:val="007C5B87"/>
    <w:rsid w:val="007D4274"/>
    <w:rsid w:val="007E5F53"/>
    <w:rsid w:val="007F6D52"/>
    <w:rsid w:val="00807973"/>
    <w:rsid w:val="008149C0"/>
    <w:rsid w:val="00823C7F"/>
    <w:rsid w:val="00830B6A"/>
    <w:rsid w:val="008358D0"/>
    <w:rsid w:val="00867943"/>
    <w:rsid w:val="00891576"/>
    <w:rsid w:val="0089332C"/>
    <w:rsid w:val="008B0EAA"/>
    <w:rsid w:val="008B5585"/>
    <w:rsid w:val="008B7163"/>
    <w:rsid w:val="008D166B"/>
    <w:rsid w:val="008D3E20"/>
    <w:rsid w:val="008E5575"/>
    <w:rsid w:val="008F784D"/>
    <w:rsid w:val="00904F65"/>
    <w:rsid w:val="00922512"/>
    <w:rsid w:val="00922581"/>
    <w:rsid w:val="009473FA"/>
    <w:rsid w:val="00950E4F"/>
    <w:rsid w:val="00953C95"/>
    <w:rsid w:val="00965A4D"/>
    <w:rsid w:val="0096644C"/>
    <w:rsid w:val="00967B34"/>
    <w:rsid w:val="00971C99"/>
    <w:rsid w:val="00984FB9"/>
    <w:rsid w:val="00991C83"/>
    <w:rsid w:val="00997D45"/>
    <w:rsid w:val="009A2427"/>
    <w:rsid w:val="009A3763"/>
    <w:rsid w:val="009B4A9A"/>
    <w:rsid w:val="009B56F5"/>
    <w:rsid w:val="009D09BD"/>
    <w:rsid w:val="009F0DD9"/>
    <w:rsid w:val="009F118A"/>
    <w:rsid w:val="009F1AA8"/>
    <w:rsid w:val="00A07C93"/>
    <w:rsid w:val="00A13A0A"/>
    <w:rsid w:val="00A143E2"/>
    <w:rsid w:val="00A200F0"/>
    <w:rsid w:val="00A22D4C"/>
    <w:rsid w:val="00A32D97"/>
    <w:rsid w:val="00A443C5"/>
    <w:rsid w:val="00A5338F"/>
    <w:rsid w:val="00A625F1"/>
    <w:rsid w:val="00A70EFA"/>
    <w:rsid w:val="00A92BA6"/>
    <w:rsid w:val="00A9487D"/>
    <w:rsid w:val="00A95B88"/>
    <w:rsid w:val="00AA6E83"/>
    <w:rsid w:val="00AA759E"/>
    <w:rsid w:val="00AB0CD9"/>
    <w:rsid w:val="00AB28AC"/>
    <w:rsid w:val="00AB3A02"/>
    <w:rsid w:val="00AB6AE8"/>
    <w:rsid w:val="00AB7D60"/>
    <w:rsid w:val="00AC69EF"/>
    <w:rsid w:val="00B1232E"/>
    <w:rsid w:val="00B13B93"/>
    <w:rsid w:val="00B1678C"/>
    <w:rsid w:val="00B25200"/>
    <w:rsid w:val="00B26899"/>
    <w:rsid w:val="00B341E1"/>
    <w:rsid w:val="00B64D99"/>
    <w:rsid w:val="00B734FB"/>
    <w:rsid w:val="00B8382A"/>
    <w:rsid w:val="00B96966"/>
    <w:rsid w:val="00B96DBC"/>
    <w:rsid w:val="00BB5A49"/>
    <w:rsid w:val="00BE428A"/>
    <w:rsid w:val="00BE5BB3"/>
    <w:rsid w:val="00C073E8"/>
    <w:rsid w:val="00C079AC"/>
    <w:rsid w:val="00C12081"/>
    <w:rsid w:val="00C47526"/>
    <w:rsid w:val="00C52891"/>
    <w:rsid w:val="00C8028E"/>
    <w:rsid w:val="00C81990"/>
    <w:rsid w:val="00C873B3"/>
    <w:rsid w:val="00C935DB"/>
    <w:rsid w:val="00CA08B8"/>
    <w:rsid w:val="00CA258B"/>
    <w:rsid w:val="00CA52C5"/>
    <w:rsid w:val="00CA56C9"/>
    <w:rsid w:val="00CB0872"/>
    <w:rsid w:val="00CC25F8"/>
    <w:rsid w:val="00CC3905"/>
    <w:rsid w:val="00CC4ECD"/>
    <w:rsid w:val="00CC7B28"/>
    <w:rsid w:val="00CD4F36"/>
    <w:rsid w:val="00CD7ACF"/>
    <w:rsid w:val="00CE5555"/>
    <w:rsid w:val="00CF4C05"/>
    <w:rsid w:val="00CF73D4"/>
    <w:rsid w:val="00D11D4D"/>
    <w:rsid w:val="00D17087"/>
    <w:rsid w:val="00D2022B"/>
    <w:rsid w:val="00D23466"/>
    <w:rsid w:val="00D37FC6"/>
    <w:rsid w:val="00D53FFB"/>
    <w:rsid w:val="00D67E9C"/>
    <w:rsid w:val="00D71589"/>
    <w:rsid w:val="00D724B0"/>
    <w:rsid w:val="00D729D7"/>
    <w:rsid w:val="00D76A60"/>
    <w:rsid w:val="00D83E94"/>
    <w:rsid w:val="00DA576F"/>
    <w:rsid w:val="00DC4271"/>
    <w:rsid w:val="00DD1193"/>
    <w:rsid w:val="00DE5747"/>
    <w:rsid w:val="00E0003F"/>
    <w:rsid w:val="00E0087B"/>
    <w:rsid w:val="00E04268"/>
    <w:rsid w:val="00E11BB9"/>
    <w:rsid w:val="00E158C0"/>
    <w:rsid w:val="00E35A62"/>
    <w:rsid w:val="00E544F7"/>
    <w:rsid w:val="00E60518"/>
    <w:rsid w:val="00E627E3"/>
    <w:rsid w:val="00E6397D"/>
    <w:rsid w:val="00E70DDE"/>
    <w:rsid w:val="00E730A9"/>
    <w:rsid w:val="00E75A17"/>
    <w:rsid w:val="00E766F9"/>
    <w:rsid w:val="00E952C8"/>
    <w:rsid w:val="00EB37F4"/>
    <w:rsid w:val="00EF4A79"/>
    <w:rsid w:val="00EF751C"/>
    <w:rsid w:val="00EF791A"/>
    <w:rsid w:val="00F06EC9"/>
    <w:rsid w:val="00F12697"/>
    <w:rsid w:val="00F142B3"/>
    <w:rsid w:val="00F34BA7"/>
    <w:rsid w:val="00F43075"/>
    <w:rsid w:val="00F447A6"/>
    <w:rsid w:val="00F517F7"/>
    <w:rsid w:val="00F749BF"/>
    <w:rsid w:val="00F94082"/>
    <w:rsid w:val="00F9424F"/>
    <w:rsid w:val="00F976A1"/>
    <w:rsid w:val="00FA383A"/>
    <w:rsid w:val="00FB4617"/>
    <w:rsid w:val="00FD5B6F"/>
    <w:rsid w:val="00FF1A20"/>
  </w:rsids>
  <m:mathPr>
    <m:mathFont m:val="Helvetica Neue"/>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1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E7"/>
    <w:rPr>
      <w:rFonts w:ascii="Segoe UI" w:hAnsi="Segoe UI" w:cs="Segoe UI"/>
      <w:sz w:val="18"/>
      <w:szCs w:val="18"/>
    </w:rPr>
  </w:style>
  <w:style w:type="paragraph" w:styleId="Header">
    <w:name w:val="header"/>
    <w:basedOn w:val="Normal"/>
    <w:link w:val="HeaderChar"/>
    <w:uiPriority w:val="99"/>
    <w:unhideWhenUsed/>
    <w:rsid w:val="00182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DC5"/>
  </w:style>
  <w:style w:type="paragraph" w:styleId="Footer">
    <w:name w:val="footer"/>
    <w:basedOn w:val="Normal"/>
    <w:link w:val="FooterChar"/>
    <w:uiPriority w:val="99"/>
    <w:unhideWhenUsed/>
    <w:rsid w:val="00182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DC5"/>
  </w:style>
  <w:style w:type="paragraph" w:styleId="Title">
    <w:name w:val="Title"/>
    <w:basedOn w:val="Normal"/>
    <w:next w:val="Normal"/>
    <w:link w:val="TitleChar"/>
    <w:uiPriority w:val="10"/>
    <w:qFormat/>
    <w:rsid w:val="00182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D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7406"/>
    <w:pPr>
      <w:ind w:left="720"/>
      <w:contextualSpacing/>
    </w:pPr>
  </w:style>
  <w:style w:type="character" w:styleId="CommentReference">
    <w:name w:val="annotation reference"/>
    <w:basedOn w:val="DefaultParagraphFont"/>
    <w:uiPriority w:val="99"/>
    <w:semiHidden/>
    <w:unhideWhenUsed/>
    <w:rsid w:val="00422E8A"/>
    <w:rPr>
      <w:sz w:val="16"/>
      <w:szCs w:val="16"/>
    </w:rPr>
  </w:style>
  <w:style w:type="paragraph" w:styleId="CommentText">
    <w:name w:val="annotation text"/>
    <w:basedOn w:val="Normal"/>
    <w:link w:val="CommentTextChar"/>
    <w:uiPriority w:val="99"/>
    <w:semiHidden/>
    <w:unhideWhenUsed/>
    <w:rsid w:val="00422E8A"/>
    <w:pPr>
      <w:spacing w:line="240" w:lineRule="auto"/>
    </w:pPr>
    <w:rPr>
      <w:sz w:val="20"/>
      <w:szCs w:val="20"/>
    </w:rPr>
  </w:style>
  <w:style w:type="character" w:customStyle="1" w:styleId="CommentTextChar">
    <w:name w:val="Comment Text Char"/>
    <w:basedOn w:val="DefaultParagraphFont"/>
    <w:link w:val="CommentText"/>
    <w:uiPriority w:val="99"/>
    <w:semiHidden/>
    <w:rsid w:val="00422E8A"/>
    <w:rPr>
      <w:sz w:val="20"/>
      <w:szCs w:val="20"/>
    </w:rPr>
  </w:style>
  <w:style w:type="paragraph" w:styleId="CommentSubject">
    <w:name w:val="annotation subject"/>
    <w:basedOn w:val="CommentText"/>
    <w:next w:val="CommentText"/>
    <w:link w:val="CommentSubjectChar"/>
    <w:uiPriority w:val="99"/>
    <w:semiHidden/>
    <w:unhideWhenUsed/>
    <w:rsid w:val="00422E8A"/>
    <w:rPr>
      <w:b/>
      <w:bCs/>
    </w:rPr>
  </w:style>
  <w:style w:type="character" w:customStyle="1" w:styleId="CommentSubjectChar">
    <w:name w:val="Comment Subject Char"/>
    <w:basedOn w:val="CommentTextChar"/>
    <w:link w:val="CommentSubject"/>
    <w:uiPriority w:val="99"/>
    <w:semiHidden/>
    <w:rsid w:val="00422E8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5642</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Crankshaw</dc:creator>
  <cp:lastModifiedBy>Trudi Schifter</cp:lastModifiedBy>
  <cp:revision>2</cp:revision>
  <dcterms:created xsi:type="dcterms:W3CDTF">2021-07-27T10:26:00Z</dcterms:created>
  <dcterms:modified xsi:type="dcterms:W3CDTF">2021-07-27T10:26:00Z</dcterms:modified>
</cp:coreProperties>
</file>