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819" w:rsidRPr="001F0B78" w:rsidRDefault="00000819" w:rsidP="00000819">
      <w:pPr>
        <w:jc w:val="center"/>
        <w:rPr>
          <w:rFonts w:ascii="Arial" w:hAnsi="Arial" w:cs="Arial"/>
          <w:b/>
          <w:sz w:val="24"/>
          <w:szCs w:val="24"/>
        </w:rPr>
      </w:pPr>
      <w:r w:rsidRPr="001F0B78">
        <w:rPr>
          <w:rFonts w:ascii="Arial" w:hAnsi="Arial" w:cs="Arial"/>
          <w:b/>
          <w:sz w:val="24"/>
          <w:szCs w:val="24"/>
        </w:rPr>
        <w:t>Lessons learned from Armenian PPP</w:t>
      </w:r>
      <w:r>
        <w:rPr>
          <w:rFonts w:ascii="Arial" w:hAnsi="Arial" w:cs="Arial"/>
          <w:b/>
          <w:sz w:val="24"/>
          <w:szCs w:val="24"/>
        </w:rPr>
        <w:t>-</w:t>
      </w:r>
      <w:r w:rsidRPr="001F0B78">
        <w:rPr>
          <w:rFonts w:ascii="Arial" w:hAnsi="Arial" w:cs="Arial"/>
          <w:b/>
          <w:sz w:val="24"/>
          <w:szCs w:val="24"/>
        </w:rPr>
        <w:t>based reforms</w:t>
      </w:r>
    </w:p>
    <w:p w:rsidR="00000819" w:rsidRDefault="00000819" w:rsidP="00000819">
      <w:pPr>
        <w:jc w:val="center"/>
        <w:rPr>
          <w:rFonts w:ascii="Arial" w:hAnsi="Arial" w:cs="Arial"/>
          <w:b/>
          <w:sz w:val="24"/>
          <w:szCs w:val="24"/>
        </w:rPr>
      </w:pPr>
      <w:r w:rsidRPr="001F0B78">
        <w:rPr>
          <w:rFonts w:ascii="Arial" w:hAnsi="Arial" w:cs="Arial"/>
          <w:b/>
          <w:sz w:val="24"/>
          <w:szCs w:val="24"/>
        </w:rPr>
        <w:t>Part 1: Overview</w:t>
      </w:r>
    </w:p>
    <w:p w:rsidR="00000819" w:rsidRPr="001F0B78" w:rsidRDefault="00000819" w:rsidP="00000819">
      <w:pPr>
        <w:jc w:val="center"/>
        <w:rPr>
          <w:rFonts w:ascii="Arial" w:hAnsi="Arial" w:cs="Arial"/>
          <w:b/>
          <w:sz w:val="24"/>
          <w:szCs w:val="24"/>
        </w:rPr>
      </w:pPr>
      <w:bookmarkStart w:id="0" w:name="_GoBack"/>
      <w:bookmarkEnd w:id="0"/>
    </w:p>
    <w:p w:rsidR="00000819" w:rsidRDefault="00000819" w:rsidP="00000819">
      <w:pPr>
        <w:spacing w:line="240" w:lineRule="auto"/>
        <w:jc w:val="both"/>
        <w:rPr>
          <w:rFonts w:ascii="Arial" w:hAnsi="Arial" w:cs="Arial"/>
          <w:sz w:val="24"/>
          <w:szCs w:val="24"/>
        </w:rPr>
      </w:pPr>
      <w:r w:rsidRPr="0074250C">
        <w:rPr>
          <w:rFonts w:ascii="Arial" w:hAnsi="Arial" w:cs="Arial"/>
          <w:sz w:val="24"/>
          <w:szCs w:val="24"/>
        </w:rPr>
        <w:t>Public Private Partnership (PPP) in Armenia was implemented with the aim of accelerating water infrastructure development that is vital for the country.  Armenia is among the exclusive countries where starting from 2009 the water sector has entirely been managed based on PPP. From 2000 up to now 3 management contracts and 2 lease contracts have been implemented in the country: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3150"/>
        <w:gridCol w:w="2700"/>
        <w:gridCol w:w="1975"/>
      </w:tblGrid>
      <w:tr w:rsidR="00000819" w:rsidTr="00DE19FF">
        <w:tc>
          <w:tcPr>
            <w:tcW w:w="1525" w:type="dxa"/>
          </w:tcPr>
          <w:p w:rsidR="00000819" w:rsidRPr="006A5C4E" w:rsidRDefault="00000819" w:rsidP="00DE19FF">
            <w:pPr>
              <w:jc w:val="both"/>
              <w:rPr>
                <w:rFonts w:ascii="Arial" w:hAnsi="Arial" w:cs="Arial"/>
                <w:b/>
                <w:sz w:val="24"/>
                <w:szCs w:val="24"/>
              </w:rPr>
            </w:pPr>
            <w:r w:rsidRPr="006A5C4E">
              <w:rPr>
                <w:rFonts w:ascii="Arial" w:hAnsi="Arial" w:cs="Arial"/>
                <w:b/>
                <w:sz w:val="24"/>
                <w:szCs w:val="24"/>
              </w:rPr>
              <w:t>Term</w:t>
            </w:r>
          </w:p>
        </w:tc>
        <w:tc>
          <w:tcPr>
            <w:tcW w:w="3150" w:type="dxa"/>
          </w:tcPr>
          <w:p w:rsidR="00000819" w:rsidRPr="006A5C4E" w:rsidRDefault="00000819" w:rsidP="00DE19FF">
            <w:pPr>
              <w:jc w:val="both"/>
              <w:rPr>
                <w:rFonts w:ascii="Arial" w:hAnsi="Arial" w:cs="Arial"/>
                <w:b/>
                <w:sz w:val="24"/>
                <w:szCs w:val="24"/>
              </w:rPr>
            </w:pPr>
            <w:r w:rsidRPr="006A5C4E">
              <w:rPr>
                <w:rFonts w:ascii="Arial" w:hAnsi="Arial" w:cs="Arial"/>
                <w:b/>
                <w:sz w:val="24"/>
                <w:szCs w:val="24"/>
              </w:rPr>
              <w:t>Service area</w:t>
            </w:r>
          </w:p>
          <w:p w:rsidR="00000819" w:rsidRPr="006A5C4E" w:rsidRDefault="00000819" w:rsidP="00DE19FF">
            <w:pPr>
              <w:jc w:val="both"/>
              <w:rPr>
                <w:rFonts w:ascii="Arial" w:hAnsi="Arial" w:cs="Arial"/>
                <w:b/>
                <w:sz w:val="24"/>
                <w:szCs w:val="24"/>
              </w:rPr>
            </w:pPr>
          </w:p>
        </w:tc>
        <w:tc>
          <w:tcPr>
            <w:tcW w:w="2700" w:type="dxa"/>
          </w:tcPr>
          <w:p w:rsidR="00000819" w:rsidRPr="006A5C4E" w:rsidRDefault="00000819" w:rsidP="00DE19FF">
            <w:pPr>
              <w:jc w:val="both"/>
              <w:rPr>
                <w:rFonts w:ascii="Arial" w:hAnsi="Arial" w:cs="Arial"/>
                <w:b/>
                <w:sz w:val="24"/>
                <w:szCs w:val="24"/>
              </w:rPr>
            </w:pPr>
            <w:r w:rsidRPr="006A5C4E">
              <w:rPr>
                <w:rFonts w:ascii="Arial" w:hAnsi="Arial" w:cs="Arial"/>
                <w:b/>
                <w:sz w:val="24"/>
                <w:szCs w:val="24"/>
              </w:rPr>
              <w:t>Operator</w:t>
            </w:r>
          </w:p>
        </w:tc>
        <w:tc>
          <w:tcPr>
            <w:tcW w:w="1975" w:type="dxa"/>
          </w:tcPr>
          <w:p w:rsidR="00000819" w:rsidRPr="006A5C4E" w:rsidRDefault="00000819" w:rsidP="00DE19FF">
            <w:pPr>
              <w:jc w:val="both"/>
              <w:rPr>
                <w:rFonts w:ascii="Arial" w:hAnsi="Arial" w:cs="Arial"/>
                <w:b/>
                <w:sz w:val="24"/>
                <w:szCs w:val="24"/>
              </w:rPr>
            </w:pPr>
            <w:r w:rsidRPr="006A5C4E">
              <w:rPr>
                <w:rFonts w:ascii="Arial" w:hAnsi="Arial" w:cs="Arial"/>
                <w:b/>
                <w:sz w:val="24"/>
                <w:szCs w:val="24"/>
              </w:rPr>
              <w:t>Form of PPP</w:t>
            </w:r>
          </w:p>
        </w:tc>
      </w:tr>
      <w:tr w:rsidR="00000819" w:rsidTr="00DE19FF">
        <w:tc>
          <w:tcPr>
            <w:tcW w:w="1525" w:type="dxa"/>
          </w:tcPr>
          <w:p w:rsidR="00000819" w:rsidRPr="00CF70AC" w:rsidRDefault="00000819" w:rsidP="00DE19FF">
            <w:pPr>
              <w:jc w:val="both"/>
              <w:rPr>
                <w:rFonts w:ascii="Arial" w:hAnsi="Arial" w:cs="Arial"/>
              </w:rPr>
            </w:pPr>
            <w:r w:rsidRPr="00CF70AC">
              <w:rPr>
                <w:rFonts w:ascii="Arial" w:hAnsi="Arial" w:cs="Arial"/>
              </w:rPr>
              <w:t>2017-2032</w:t>
            </w:r>
          </w:p>
        </w:tc>
        <w:tc>
          <w:tcPr>
            <w:tcW w:w="3150" w:type="dxa"/>
          </w:tcPr>
          <w:p w:rsidR="00000819" w:rsidRDefault="00000819" w:rsidP="00DE19FF">
            <w:pPr>
              <w:jc w:val="both"/>
              <w:rPr>
                <w:rFonts w:ascii="Arial" w:hAnsi="Arial" w:cs="Arial"/>
              </w:rPr>
            </w:pPr>
            <w:r w:rsidRPr="00CF70AC">
              <w:rPr>
                <w:rFonts w:ascii="Arial" w:hAnsi="Arial" w:cs="Arial"/>
              </w:rPr>
              <w:t>service area of all 5 previous water companies</w:t>
            </w:r>
          </w:p>
          <w:p w:rsidR="00000819" w:rsidRPr="00CF70AC" w:rsidRDefault="00000819" w:rsidP="00DE19FF">
            <w:pPr>
              <w:jc w:val="both"/>
              <w:rPr>
                <w:rFonts w:ascii="Arial" w:hAnsi="Arial" w:cs="Arial"/>
              </w:rPr>
            </w:pPr>
          </w:p>
        </w:tc>
        <w:tc>
          <w:tcPr>
            <w:tcW w:w="2700" w:type="dxa"/>
          </w:tcPr>
          <w:p w:rsidR="00000819" w:rsidRPr="00CF70AC" w:rsidRDefault="00000819" w:rsidP="00DE19FF">
            <w:pPr>
              <w:jc w:val="both"/>
              <w:rPr>
                <w:rFonts w:ascii="Arial" w:hAnsi="Arial" w:cs="Arial"/>
              </w:rPr>
            </w:pPr>
            <w:r w:rsidRPr="00CF70AC">
              <w:rPr>
                <w:rFonts w:ascii="Arial" w:hAnsi="Arial" w:cs="Arial"/>
              </w:rPr>
              <w:t>VEOLIA Water (France)</w:t>
            </w:r>
          </w:p>
        </w:tc>
        <w:tc>
          <w:tcPr>
            <w:tcW w:w="1975" w:type="dxa"/>
          </w:tcPr>
          <w:p w:rsidR="00000819" w:rsidRPr="00CF70AC" w:rsidRDefault="00000819" w:rsidP="00DE19FF">
            <w:pPr>
              <w:jc w:val="both"/>
              <w:rPr>
                <w:rFonts w:ascii="Arial" w:hAnsi="Arial" w:cs="Arial"/>
              </w:rPr>
            </w:pPr>
            <w:r w:rsidRPr="00CF70AC">
              <w:rPr>
                <w:rFonts w:ascii="Arial" w:hAnsi="Arial" w:cs="Arial"/>
              </w:rPr>
              <w:t>Lease contract</w:t>
            </w:r>
          </w:p>
        </w:tc>
      </w:tr>
      <w:tr w:rsidR="00000819" w:rsidTr="00DE19FF">
        <w:tc>
          <w:tcPr>
            <w:tcW w:w="1525" w:type="dxa"/>
          </w:tcPr>
          <w:p w:rsidR="00000819" w:rsidRDefault="00000819" w:rsidP="00DE19FF">
            <w:pPr>
              <w:jc w:val="both"/>
              <w:rPr>
                <w:rFonts w:ascii="Arial" w:hAnsi="Arial" w:cs="Arial"/>
              </w:rPr>
            </w:pPr>
            <w:r w:rsidRPr="00CF70AC">
              <w:rPr>
                <w:rFonts w:ascii="Arial" w:hAnsi="Arial" w:cs="Arial"/>
              </w:rPr>
              <w:t xml:space="preserve">2006 - 2016 </w:t>
            </w:r>
          </w:p>
          <w:p w:rsidR="00000819" w:rsidRPr="00CF70AC" w:rsidRDefault="00000819" w:rsidP="00DE19FF">
            <w:pPr>
              <w:jc w:val="both"/>
              <w:rPr>
                <w:rFonts w:ascii="Arial" w:hAnsi="Arial" w:cs="Arial"/>
              </w:rPr>
            </w:pPr>
            <w:r w:rsidRPr="00CF70AC">
              <w:rPr>
                <w:rFonts w:ascii="Arial" w:hAnsi="Arial" w:cs="Arial"/>
              </w:rPr>
              <w:t xml:space="preserve"> </w:t>
            </w:r>
          </w:p>
        </w:tc>
        <w:tc>
          <w:tcPr>
            <w:tcW w:w="3150" w:type="dxa"/>
          </w:tcPr>
          <w:p w:rsidR="00000819" w:rsidRPr="00CF70AC" w:rsidRDefault="00000819" w:rsidP="00DE19FF">
            <w:pPr>
              <w:jc w:val="both"/>
              <w:rPr>
                <w:rFonts w:ascii="Arial" w:hAnsi="Arial" w:cs="Arial"/>
              </w:rPr>
            </w:pPr>
            <w:r w:rsidRPr="00CF70AC">
              <w:rPr>
                <w:rFonts w:ascii="Arial" w:hAnsi="Arial" w:cs="Arial"/>
              </w:rPr>
              <w:t>Yerevan city</w:t>
            </w:r>
          </w:p>
        </w:tc>
        <w:tc>
          <w:tcPr>
            <w:tcW w:w="2700" w:type="dxa"/>
          </w:tcPr>
          <w:p w:rsidR="00000819" w:rsidRPr="00CF70AC" w:rsidRDefault="00000819" w:rsidP="00DE19FF">
            <w:pPr>
              <w:jc w:val="both"/>
              <w:rPr>
                <w:rFonts w:ascii="Arial" w:hAnsi="Arial" w:cs="Arial"/>
              </w:rPr>
            </w:pPr>
            <w:r w:rsidRPr="00CF70AC">
              <w:rPr>
                <w:rFonts w:ascii="Arial" w:hAnsi="Arial" w:cs="Arial"/>
              </w:rPr>
              <w:t>VEOLIA Water (France)</w:t>
            </w:r>
          </w:p>
        </w:tc>
        <w:tc>
          <w:tcPr>
            <w:tcW w:w="1975" w:type="dxa"/>
          </w:tcPr>
          <w:p w:rsidR="00000819" w:rsidRPr="00CF70AC" w:rsidRDefault="00000819" w:rsidP="00DE19FF">
            <w:pPr>
              <w:jc w:val="both"/>
              <w:rPr>
                <w:rFonts w:ascii="Arial" w:hAnsi="Arial" w:cs="Arial"/>
              </w:rPr>
            </w:pPr>
            <w:r w:rsidRPr="00CF70AC">
              <w:rPr>
                <w:rFonts w:ascii="Arial" w:hAnsi="Arial" w:cs="Arial"/>
              </w:rPr>
              <w:t>Lease contract</w:t>
            </w:r>
          </w:p>
        </w:tc>
      </w:tr>
      <w:tr w:rsidR="00000819" w:rsidTr="00DE19FF">
        <w:tc>
          <w:tcPr>
            <w:tcW w:w="1525" w:type="dxa"/>
          </w:tcPr>
          <w:p w:rsidR="00000819" w:rsidRDefault="00000819" w:rsidP="00DE19FF">
            <w:pPr>
              <w:jc w:val="both"/>
              <w:rPr>
                <w:rFonts w:ascii="Arial" w:hAnsi="Arial" w:cs="Arial"/>
              </w:rPr>
            </w:pPr>
            <w:r w:rsidRPr="00CF70AC">
              <w:rPr>
                <w:rFonts w:ascii="Arial" w:hAnsi="Arial" w:cs="Arial"/>
              </w:rPr>
              <w:t>2004 – 2016</w:t>
            </w:r>
          </w:p>
          <w:p w:rsidR="00000819" w:rsidRDefault="00000819" w:rsidP="00DE19FF">
            <w:pPr>
              <w:jc w:val="both"/>
              <w:rPr>
                <w:rFonts w:ascii="Arial" w:hAnsi="Arial" w:cs="Arial"/>
              </w:rPr>
            </w:pPr>
          </w:p>
          <w:p w:rsidR="00000819" w:rsidRPr="00CF70AC" w:rsidRDefault="00000819" w:rsidP="00DE19FF">
            <w:pPr>
              <w:jc w:val="both"/>
              <w:rPr>
                <w:rFonts w:ascii="Arial" w:hAnsi="Arial" w:cs="Arial"/>
              </w:rPr>
            </w:pPr>
          </w:p>
        </w:tc>
        <w:tc>
          <w:tcPr>
            <w:tcW w:w="3150" w:type="dxa"/>
          </w:tcPr>
          <w:p w:rsidR="00000819" w:rsidRPr="00CF70AC" w:rsidRDefault="00000819" w:rsidP="00DE19FF">
            <w:pPr>
              <w:jc w:val="both"/>
              <w:rPr>
                <w:rFonts w:ascii="Arial" w:hAnsi="Arial" w:cs="Arial"/>
              </w:rPr>
            </w:pPr>
            <w:r w:rsidRPr="00CF70AC">
              <w:rPr>
                <w:rFonts w:ascii="Arial" w:hAnsi="Arial" w:cs="Arial"/>
              </w:rPr>
              <w:t>Secondary towns and rural area</w:t>
            </w:r>
          </w:p>
        </w:tc>
        <w:tc>
          <w:tcPr>
            <w:tcW w:w="2700" w:type="dxa"/>
          </w:tcPr>
          <w:p w:rsidR="00000819" w:rsidRPr="00CF70AC" w:rsidRDefault="00000819" w:rsidP="00DE19FF">
            <w:pPr>
              <w:jc w:val="both"/>
              <w:rPr>
                <w:rFonts w:ascii="Arial" w:hAnsi="Arial" w:cs="Arial"/>
              </w:rPr>
            </w:pPr>
            <w:r w:rsidRPr="00CF70AC">
              <w:rPr>
                <w:rFonts w:ascii="Arial" w:hAnsi="Arial" w:cs="Arial"/>
              </w:rPr>
              <w:t>SAUR (France)</w:t>
            </w:r>
          </w:p>
        </w:tc>
        <w:tc>
          <w:tcPr>
            <w:tcW w:w="1975" w:type="dxa"/>
          </w:tcPr>
          <w:p w:rsidR="00000819" w:rsidRPr="00CF70AC" w:rsidRDefault="00000819" w:rsidP="00DE19FF">
            <w:pPr>
              <w:jc w:val="both"/>
              <w:rPr>
                <w:rFonts w:ascii="Arial" w:hAnsi="Arial" w:cs="Arial"/>
              </w:rPr>
            </w:pPr>
            <w:r w:rsidRPr="00CF70AC">
              <w:rPr>
                <w:rFonts w:ascii="Arial" w:hAnsi="Arial" w:cs="Arial"/>
              </w:rPr>
              <w:t>Management contract</w:t>
            </w:r>
          </w:p>
        </w:tc>
      </w:tr>
      <w:tr w:rsidR="00000819" w:rsidTr="00DE19FF">
        <w:tc>
          <w:tcPr>
            <w:tcW w:w="1525" w:type="dxa"/>
          </w:tcPr>
          <w:p w:rsidR="00000819" w:rsidRDefault="00000819" w:rsidP="00DE19FF">
            <w:pPr>
              <w:jc w:val="both"/>
              <w:rPr>
                <w:rFonts w:ascii="Arial" w:hAnsi="Arial" w:cs="Arial"/>
              </w:rPr>
            </w:pPr>
            <w:r w:rsidRPr="00CF70AC">
              <w:rPr>
                <w:rFonts w:ascii="Arial" w:hAnsi="Arial" w:cs="Arial"/>
              </w:rPr>
              <w:t xml:space="preserve">2009 </w:t>
            </w:r>
            <w:r>
              <w:rPr>
                <w:rFonts w:ascii="Arial" w:hAnsi="Arial" w:cs="Arial"/>
              </w:rPr>
              <w:t>–</w:t>
            </w:r>
            <w:r w:rsidRPr="00CF70AC">
              <w:rPr>
                <w:rFonts w:ascii="Arial" w:hAnsi="Arial" w:cs="Arial"/>
              </w:rPr>
              <w:t xml:space="preserve"> 2016</w:t>
            </w:r>
          </w:p>
          <w:p w:rsidR="00000819" w:rsidRDefault="00000819" w:rsidP="00DE19FF">
            <w:pPr>
              <w:jc w:val="both"/>
              <w:rPr>
                <w:rFonts w:ascii="Arial" w:hAnsi="Arial" w:cs="Arial"/>
              </w:rPr>
            </w:pPr>
          </w:p>
          <w:p w:rsidR="00000819" w:rsidRDefault="00000819" w:rsidP="00DE19FF">
            <w:pPr>
              <w:jc w:val="both"/>
              <w:rPr>
                <w:rFonts w:ascii="Arial" w:hAnsi="Arial" w:cs="Arial"/>
              </w:rPr>
            </w:pPr>
          </w:p>
          <w:p w:rsidR="00000819" w:rsidRPr="00CF70AC" w:rsidRDefault="00000819" w:rsidP="00DE19FF">
            <w:pPr>
              <w:jc w:val="both"/>
              <w:rPr>
                <w:rFonts w:ascii="Arial" w:hAnsi="Arial" w:cs="Arial"/>
              </w:rPr>
            </w:pPr>
          </w:p>
        </w:tc>
        <w:tc>
          <w:tcPr>
            <w:tcW w:w="3150" w:type="dxa"/>
          </w:tcPr>
          <w:p w:rsidR="00000819" w:rsidRPr="00CF70AC" w:rsidRDefault="00000819" w:rsidP="00DE19FF">
            <w:pPr>
              <w:jc w:val="both"/>
              <w:rPr>
                <w:rFonts w:ascii="Arial" w:hAnsi="Arial" w:cs="Arial"/>
              </w:rPr>
            </w:pPr>
            <w:r w:rsidRPr="00CF70AC">
              <w:rPr>
                <w:rFonts w:ascii="Arial" w:hAnsi="Arial" w:cs="Arial"/>
              </w:rPr>
              <w:t>3 regions in the north part of Armenia</w:t>
            </w:r>
          </w:p>
        </w:tc>
        <w:tc>
          <w:tcPr>
            <w:tcW w:w="2700" w:type="dxa"/>
          </w:tcPr>
          <w:p w:rsidR="00000819" w:rsidRPr="00CF70AC" w:rsidRDefault="00000819" w:rsidP="00DE19FF">
            <w:pPr>
              <w:jc w:val="both"/>
              <w:rPr>
                <w:rFonts w:ascii="Arial" w:hAnsi="Arial" w:cs="Arial"/>
              </w:rPr>
            </w:pPr>
            <w:r w:rsidRPr="00CF70AC">
              <w:rPr>
                <w:rFonts w:ascii="Arial" w:hAnsi="Arial" w:cs="Arial"/>
              </w:rPr>
              <w:t>SAUR (France), MVVs (Germany), AEG Service (Armenia)</w:t>
            </w:r>
          </w:p>
        </w:tc>
        <w:tc>
          <w:tcPr>
            <w:tcW w:w="1975" w:type="dxa"/>
          </w:tcPr>
          <w:p w:rsidR="00000819" w:rsidRPr="00CF70AC" w:rsidRDefault="00000819" w:rsidP="00DE19FF">
            <w:pPr>
              <w:jc w:val="both"/>
              <w:rPr>
                <w:rFonts w:ascii="Arial" w:hAnsi="Arial" w:cs="Arial"/>
              </w:rPr>
            </w:pPr>
            <w:r w:rsidRPr="00CF70AC">
              <w:rPr>
                <w:rFonts w:ascii="Arial" w:hAnsi="Arial" w:cs="Arial"/>
              </w:rPr>
              <w:t>Management contract</w:t>
            </w:r>
          </w:p>
        </w:tc>
      </w:tr>
      <w:tr w:rsidR="00000819" w:rsidTr="00DE19FF">
        <w:tc>
          <w:tcPr>
            <w:tcW w:w="1525" w:type="dxa"/>
          </w:tcPr>
          <w:p w:rsidR="00000819" w:rsidRPr="00CF70AC" w:rsidRDefault="00000819" w:rsidP="00DE19FF">
            <w:pPr>
              <w:jc w:val="both"/>
              <w:rPr>
                <w:rFonts w:ascii="Arial" w:hAnsi="Arial" w:cs="Arial"/>
              </w:rPr>
            </w:pPr>
            <w:r w:rsidRPr="00CF70AC">
              <w:rPr>
                <w:rFonts w:ascii="Arial" w:hAnsi="Arial" w:cs="Arial"/>
              </w:rPr>
              <w:t>2000-2005</w:t>
            </w:r>
          </w:p>
        </w:tc>
        <w:tc>
          <w:tcPr>
            <w:tcW w:w="3150" w:type="dxa"/>
          </w:tcPr>
          <w:p w:rsidR="00000819" w:rsidRPr="00CF70AC" w:rsidRDefault="00000819" w:rsidP="00DE19FF">
            <w:pPr>
              <w:jc w:val="both"/>
              <w:rPr>
                <w:rFonts w:ascii="Arial" w:hAnsi="Arial" w:cs="Arial"/>
              </w:rPr>
            </w:pPr>
            <w:r w:rsidRPr="00CF70AC">
              <w:rPr>
                <w:rFonts w:ascii="Arial" w:hAnsi="Arial" w:cs="Arial"/>
              </w:rPr>
              <w:t>Yerevan city</w:t>
            </w:r>
          </w:p>
        </w:tc>
        <w:tc>
          <w:tcPr>
            <w:tcW w:w="2700" w:type="dxa"/>
          </w:tcPr>
          <w:p w:rsidR="00000819" w:rsidRPr="00CF70AC" w:rsidRDefault="00000819" w:rsidP="00DE19FF">
            <w:pPr>
              <w:jc w:val="both"/>
              <w:rPr>
                <w:rFonts w:ascii="Arial" w:hAnsi="Arial" w:cs="Arial"/>
              </w:rPr>
            </w:pPr>
            <w:r w:rsidRPr="00CF70AC">
              <w:rPr>
                <w:rFonts w:ascii="Arial" w:hAnsi="Arial" w:cs="Arial"/>
              </w:rPr>
              <w:t>ACEA (Italy)</w:t>
            </w:r>
          </w:p>
        </w:tc>
        <w:tc>
          <w:tcPr>
            <w:tcW w:w="1975" w:type="dxa"/>
          </w:tcPr>
          <w:p w:rsidR="00000819" w:rsidRPr="00CF70AC" w:rsidRDefault="00000819" w:rsidP="00DE19FF">
            <w:pPr>
              <w:jc w:val="both"/>
              <w:rPr>
                <w:rFonts w:ascii="Arial" w:hAnsi="Arial" w:cs="Arial"/>
              </w:rPr>
            </w:pPr>
            <w:r w:rsidRPr="00CF70AC">
              <w:rPr>
                <w:rFonts w:ascii="Arial" w:hAnsi="Arial" w:cs="Arial"/>
              </w:rPr>
              <w:t>Management contract</w:t>
            </w:r>
          </w:p>
        </w:tc>
      </w:tr>
    </w:tbl>
    <w:p w:rsidR="00000819" w:rsidRDefault="00000819" w:rsidP="00000819">
      <w:pPr>
        <w:spacing w:line="240" w:lineRule="auto"/>
        <w:jc w:val="both"/>
        <w:rPr>
          <w:rFonts w:ascii="Arial" w:hAnsi="Arial" w:cs="Arial"/>
          <w:sz w:val="24"/>
          <w:szCs w:val="24"/>
        </w:rPr>
      </w:pPr>
    </w:p>
    <w:p w:rsidR="00000819" w:rsidRDefault="00000819" w:rsidP="00000819">
      <w:pPr>
        <w:spacing w:line="240" w:lineRule="auto"/>
        <w:jc w:val="both"/>
        <w:rPr>
          <w:rFonts w:ascii="Arial" w:hAnsi="Arial" w:cs="Arial"/>
          <w:sz w:val="24"/>
          <w:szCs w:val="24"/>
        </w:rPr>
      </w:pPr>
      <w:r w:rsidRPr="00EC705B">
        <w:rPr>
          <w:rFonts w:ascii="Arial" w:hAnsi="Arial" w:cs="Arial"/>
          <w:sz w:val="24"/>
          <w:szCs w:val="24"/>
        </w:rPr>
        <w:t>The PPP in Armenian Water Sector is applied gradually from the simpler form to a deeper one.</w:t>
      </w:r>
      <w:r>
        <w:rPr>
          <w:rFonts w:ascii="Arial" w:hAnsi="Arial" w:cs="Arial"/>
          <w:sz w:val="24"/>
          <w:szCs w:val="24"/>
        </w:rPr>
        <w:t xml:space="preserve"> All contracts are performance based contracts.</w:t>
      </w:r>
    </w:p>
    <w:p w:rsidR="00000819" w:rsidRDefault="00000819" w:rsidP="00000819">
      <w:pPr>
        <w:spacing w:line="240" w:lineRule="auto"/>
        <w:jc w:val="both"/>
        <w:rPr>
          <w:rFonts w:ascii="Arial" w:hAnsi="Arial" w:cs="Arial"/>
          <w:sz w:val="24"/>
          <w:szCs w:val="24"/>
        </w:rPr>
      </w:pPr>
      <w:r w:rsidRPr="009D3697">
        <w:rPr>
          <w:rFonts w:ascii="Arial" w:hAnsi="Arial" w:cs="Arial"/>
          <w:sz w:val="24"/>
          <w:szCs w:val="24"/>
        </w:rPr>
        <w:t xml:space="preserve">Within </w:t>
      </w:r>
      <w:r>
        <w:rPr>
          <w:rFonts w:ascii="Arial" w:hAnsi="Arial" w:cs="Arial"/>
          <w:sz w:val="24"/>
          <w:szCs w:val="24"/>
        </w:rPr>
        <w:t xml:space="preserve">more than </w:t>
      </w:r>
      <w:r w:rsidRPr="009D3697">
        <w:rPr>
          <w:rFonts w:ascii="Arial" w:hAnsi="Arial" w:cs="Arial"/>
          <w:sz w:val="24"/>
          <w:szCs w:val="24"/>
        </w:rPr>
        <w:t xml:space="preserve">15 years of reforms the water sector has shown a progressive level of performance, </w:t>
      </w:r>
      <w:r w:rsidRPr="00DF78D2">
        <w:rPr>
          <w:rFonts w:ascii="Arial" w:hAnsi="Arial" w:cs="Arial"/>
          <w:sz w:val="24"/>
          <w:szCs w:val="24"/>
        </w:rPr>
        <w:t xml:space="preserve">access to universal, equitable, safe and affordable water </w:t>
      </w:r>
      <w:r>
        <w:rPr>
          <w:rFonts w:ascii="Arial" w:hAnsi="Arial" w:cs="Arial"/>
          <w:sz w:val="24"/>
          <w:szCs w:val="24"/>
        </w:rPr>
        <w:t>is</w:t>
      </w:r>
      <w:r w:rsidRPr="00DF78D2">
        <w:rPr>
          <w:rFonts w:ascii="Arial" w:hAnsi="Arial" w:cs="Arial"/>
          <w:sz w:val="24"/>
          <w:szCs w:val="24"/>
        </w:rPr>
        <w:t xml:space="preserve"> substantially improved among the entire population of Armenia.</w:t>
      </w:r>
    </w:p>
    <w:p w:rsidR="00E04B00" w:rsidRDefault="00E04B00"/>
    <w:sectPr w:rsidR="00E04B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A93"/>
    <w:rsid w:val="00000819"/>
    <w:rsid w:val="009B1A93"/>
    <w:rsid w:val="00E04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A5DE05-C31F-4DF7-A9DC-CB6196272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8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0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1089</Characters>
  <Application>Microsoft Office Word</Application>
  <DocSecurity>0</DocSecurity>
  <Lines>9</Lines>
  <Paragraphs>2</Paragraphs>
  <ScaleCrop>false</ScaleCrop>
  <Company/>
  <LinksUpToDate>false</LinksUpToDate>
  <CharactersWithSpaces>1278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Gagik Khachatryan</dc:creator>
  <cp:keywords/>
  <dc:description/>
  <cp:lastModifiedBy>Gagik Khachatryan</cp:lastModifiedBy>
  <cp:revision>2</cp:revision>
  <dcterms:created xsi:type="dcterms:W3CDTF">2017-11-20T08:58:00Z</dcterms:created>
  <dcterms:modified xsi:type="dcterms:W3CDTF">2017-11-20T08:58:00Z</dcterms:modified>
</cp:coreProperties>
</file>