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AC6" w:rsidRPr="000F680A" w:rsidRDefault="002C5BC1" w:rsidP="000F680A">
      <w:pPr>
        <w:jc w:val="center"/>
        <w:rPr>
          <w:b/>
        </w:rPr>
      </w:pPr>
      <w:r>
        <w:rPr>
          <w:b/>
        </w:rPr>
        <w:t xml:space="preserve">4 </w:t>
      </w:r>
      <w:r w:rsidR="0073393F">
        <w:rPr>
          <w:b/>
        </w:rPr>
        <w:t>C</w:t>
      </w:r>
      <w:r w:rsidR="008C4CD5">
        <w:rPr>
          <w:b/>
        </w:rPr>
        <w:t>ustomer</w:t>
      </w:r>
      <w:r w:rsidR="0073393F">
        <w:rPr>
          <w:b/>
        </w:rPr>
        <w:t xml:space="preserve"> Engagement </w:t>
      </w:r>
      <w:r>
        <w:rPr>
          <w:b/>
        </w:rPr>
        <w:t xml:space="preserve">Lessons from the Top 10 Water Utilities with the Highest JD Power Customer Satisfaction Rankings </w:t>
      </w:r>
      <w:bookmarkStart w:id="0" w:name="_GoBack"/>
      <w:bookmarkEnd w:id="0"/>
    </w:p>
    <w:p w:rsidR="000F680A" w:rsidRDefault="000F680A">
      <w:r>
        <w:rPr>
          <w:rFonts w:ascii="Arial" w:hAnsi="Arial" w:cs="Arial"/>
          <w:noProof/>
          <w:color w:val="0000FF"/>
          <w:sz w:val="27"/>
          <w:szCs w:val="27"/>
        </w:rPr>
        <w:drawing>
          <wp:inline distT="0" distB="0" distL="0" distR="0">
            <wp:extent cx="5943600" cy="3733417"/>
            <wp:effectExtent l="0" t="0" r="0" b="635"/>
            <wp:docPr id="13" name="Picture 13" descr="Image result for jd power water utility">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d power water utility">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33417"/>
                    </a:xfrm>
                    <a:prstGeom prst="rect">
                      <a:avLst/>
                    </a:prstGeom>
                    <a:noFill/>
                    <a:ln>
                      <a:noFill/>
                    </a:ln>
                  </pic:spPr>
                </pic:pic>
              </a:graphicData>
            </a:graphic>
          </wp:inline>
        </w:drawing>
      </w:r>
    </w:p>
    <w:p w:rsidR="00A47924" w:rsidRDefault="00A47924"/>
    <w:p w:rsidR="00A47924" w:rsidRDefault="009779BF">
      <w:hyperlink r:id="rId7" w:history="1">
        <w:r w:rsidR="00525E20" w:rsidRPr="009779BF">
          <w:rPr>
            <w:rStyle w:val="Hyperlink"/>
          </w:rPr>
          <w:t>In 2016, JD Power released its first ever ranking of customer satisfaction for water utilities.</w:t>
        </w:r>
      </w:hyperlink>
      <w:r w:rsidR="00C975D1">
        <w:t xml:space="preserve"> The focus was on the </w:t>
      </w:r>
      <w:r>
        <w:t>84 utilities across the United States</w:t>
      </w:r>
      <w:r w:rsidR="00C975D1">
        <w:t xml:space="preserve"> </w:t>
      </w:r>
      <w:r>
        <w:t>serving at least 4</w:t>
      </w:r>
      <w:r w:rsidR="00C975D1">
        <w:t xml:space="preserve">00,000 </w:t>
      </w:r>
      <w:r>
        <w:t>people</w:t>
      </w:r>
      <w:r w:rsidR="00C975D1">
        <w:t xml:space="preserve">. </w:t>
      </w:r>
      <w:r w:rsidR="00F550B7">
        <w:t>This size constraint leaves out many excellent utilities in the small to medium range</w:t>
      </w:r>
      <w:r w:rsidR="00ED2D88">
        <w:t xml:space="preserve">, but because it features the largest utilities in the country, it offers an opportunity to learn what the biggest, most resourced utilities are doing to foster customer engagement. </w:t>
      </w:r>
      <w:r w:rsidR="00F550B7">
        <w:t xml:space="preserve">. </w:t>
      </w:r>
    </w:p>
    <w:p w:rsidR="00831081" w:rsidRDefault="00831081">
      <w:r>
        <w:t xml:space="preserve">Here’s what the top 10 JD Power Ranked Water Utilities from across </w:t>
      </w:r>
      <w:r w:rsidR="00754F3B">
        <w:t>the United States are doing</w:t>
      </w:r>
      <w:r w:rsidR="00A230C0">
        <w:t xml:space="preserve"> to engage their customers</w:t>
      </w:r>
      <w:r w:rsidR="00754F3B">
        <w:t>.</w:t>
      </w:r>
    </w:p>
    <w:p w:rsidR="00537823" w:rsidRPr="009C130C" w:rsidRDefault="009C130C">
      <w:pPr>
        <w:rPr>
          <w:b/>
          <w:noProof/>
        </w:rPr>
      </w:pPr>
      <w:r w:rsidRPr="009C130C">
        <w:rPr>
          <w:b/>
          <w:noProof/>
        </w:rPr>
        <w:t xml:space="preserve">Number 1: </w:t>
      </w:r>
      <w:r w:rsidR="002A5559">
        <w:rPr>
          <w:b/>
          <w:noProof/>
        </w:rPr>
        <w:t>Leverage Technology</w:t>
      </w:r>
      <w:r w:rsidR="00A627B9">
        <w:rPr>
          <w:b/>
          <w:noProof/>
        </w:rPr>
        <w:t xml:space="preserve"> to Ease Transactions</w:t>
      </w:r>
      <w:r w:rsidR="00E947D5">
        <w:rPr>
          <w:b/>
          <w:noProof/>
        </w:rPr>
        <w:t xml:space="preserve"> </w:t>
      </w:r>
      <w:r w:rsidR="007C54C4">
        <w:rPr>
          <w:b/>
          <w:noProof/>
        </w:rPr>
        <w:t xml:space="preserve">&amp; Foster Transparency </w:t>
      </w:r>
      <w:r w:rsidR="00E947D5">
        <w:rPr>
          <w:b/>
          <w:noProof/>
        </w:rPr>
        <w:t>(L)</w:t>
      </w:r>
    </w:p>
    <w:p w:rsidR="009C130C" w:rsidRDefault="009C130C">
      <w:r>
        <w:t xml:space="preserve">Utilities are guaranteed to hear from their customers during two situations – when they are paying their bills and when they have issues. </w:t>
      </w:r>
      <w:r w:rsidR="00771AF6">
        <w:t xml:space="preserve">Leading utilities </w:t>
      </w:r>
      <w:r w:rsidR="00BD60B1">
        <w:t xml:space="preserve">make those engagements easy and less painful. They </w:t>
      </w:r>
      <w:r w:rsidR="00771AF6">
        <w:t>have automated their transactional systems</w:t>
      </w:r>
      <w:r w:rsidR="00943063">
        <w:t>, allowing consumers to register personal accounts online to track usage and pay bills</w:t>
      </w:r>
      <w:r w:rsidR="00771AF6">
        <w:t xml:space="preserve">. </w:t>
      </w:r>
    </w:p>
    <w:p w:rsidR="009101B0" w:rsidRDefault="006C056A">
      <w:r>
        <w:t>100% of the top performer enable online b</w:t>
      </w:r>
      <w:r w:rsidR="006A3227">
        <w:t>illing</w:t>
      </w:r>
      <w:r>
        <w:t xml:space="preserve"> &amp; payment. Many offer o</w:t>
      </w:r>
      <w:r w:rsidR="006A3227">
        <w:t xml:space="preserve">nline </w:t>
      </w:r>
      <w:r w:rsidR="00D83C4A">
        <w:t xml:space="preserve">usage </w:t>
      </w:r>
      <w:r w:rsidR="006A3227">
        <w:t xml:space="preserve">dashboards </w:t>
      </w:r>
      <w:r w:rsidR="00353DF5">
        <w:t xml:space="preserve">that </w:t>
      </w:r>
      <w:r w:rsidR="00B448B7">
        <w:t>provide</w:t>
      </w:r>
      <w:r w:rsidR="00353DF5">
        <w:t xml:space="preserve"> comparative analyses of use across customers and segments, </w:t>
      </w:r>
      <w:r w:rsidR="006A3227">
        <w:t xml:space="preserve">and FAQs </w:t>
      </w:r>
      <w:r w:rsidR="00591DAF">
        <w:t xml:space="preserve">that address pressing questions. Top performing utilities use technology to </w:t>
      </w:r>
      <w:r w:rsidR="007F65A1">
        <w:t xml:space="preserve">enable </w:t>
      </w:r>
      <w:r w:rsidR="006A3227">
        <w:t xml:space="preserve">seamless </w:t>
      </w:r>
      <w:r w:rsidR="002C2C06">
        <w:t>engagement</w:t>
      </w:r>
      <w:r w:rsidR="00F550B7">
        <w:t xml:space="preserve"> </w:t>
      </w:r>
      <w:r w:rsidR="007F65A1">
        <w:t xml:space="preserve">between consumers and </w:t>
      </w:r>
      <w:r w:rsidR="00F550B7">
        <w:t>their utility</w:t>
      </w:r>
      <w:r w:rsidR="007F65A1">
        <w:t>.</w:t>
      </w:r>
    </w:p>
    <w:p w:rsidR="00773F1D" w:rsidRDefault="00D83C4A">
      <w:pPr>
        <w:rPr>
          <w:b/>
        </w:rPr>
      </w:pPr>
      <w:r>
        <w:t xml:space="preserve"> </w:t>
      </w:r>
      <w:r w:rsidR="006B572F" w:rsidRPr="002C2C06">
        <w:rPr>
          <w:b/>
        </w:rPr>
        <w:t xml:space="preserve">Number 2: </w:t>
      </w:r>
      <w:r w:rsidR="008963AC">
        <w:rPr>
          <w:b/>
        </w:rPr>
        <w:t xml:space="preserve">Engage on </w:t>
      </w:r>
      <w:r w:rsidR="006B572F" w:rsidRPr="002C2C06">
        <w:rPr>
          <w:b/>
        </w:rPr>
        <w:t>Multiple platform</w:t>
      </w:r>
      <w:r w:rsidR="008963AC">
        <w:rPr>
          <w:b/>
        </w:rPr>
        <w:t>s</w:t>
      </w:r>
      <w:r w:rsidR="00E947D5">
        <w:rPr>
          <w:b/>
        </w:rPr>
        <w:t xml:space="preserve"> (E)</w:t>
      </w:r>
    </w:p>
    <w:p w:rsidR="005A2AA6" w:rsidRDefault="005A2AA6">
      <w:pPr>
        <w:rPr>
          <w:b/>
        </w:rPr>
      </w:pPr>
      <w:r>
        <w:rPr>
          <w:noProof/>
        </w:rPr>
        <w:lastRenderedPageBreak/>
        <w:drawing>
          <wp:inline distT="0" distB="0" distL="0" distR="0" wp14:anchorId="44092A2B" wp14:editId="2EA39E65">
            <wp:extent cx="23145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4575" cy="400050"/>
                    </a:xfrm>
                    <a:prstGeom prst="rect">
                      <a:avLst/>
                    </a:prstGeom>
                  </pic:spPr>
                </pic:pic>
              </a:graphicData>
            </a:graphic>
          </wp:inline>
        </w:drawing>
      </w:r>
    </w:p>
    <w:p w:rsidR="00572422" w:rsidRDefault="00572422">
      <w:r>
        <w:t xml:space="preserve">Top performing utilities </w:t>
      </w:r>
      <w:r w:rsidR="00BB0202">
        <w:t xml:space="preserve">use between 3 to 5 online and social media platforms to engage with their customers. Almost all of them have Twitter and Facebook accounts. </w:t>
      </w:r>
      <w:r w:rsidR="00AB1C3A">
        <w:t xml:space="preserve">A large number also have YouTube video channels where they post infomercials, and Flickr </w:t>
      </w:r>
      <w:r w:rsidR="00531548">
        <w:t xml:space="preserve">or Instagram </w:t>
      </w:r>
      <w:r w:rsidR="00AB1C3A">
        <w:t>accounts for sharing pictures</w:t>
      </w:r>
      <w:r w:rsidR="00531548">
        <w:t>, videos and images</w:t>
      </w:r>
      <w:r w:rsidR="00AB1C3A">
        <w:t xml:space="preserve">. </w:t>
      </w:r>
    </w:p>
    <w:p w:rsidR="00E947D5" w:rsidRDefault="00E947D5" w:rsidP="00E947D5">
      <w:pPr>
        <w:rPr>
          <w:b/>
        </w:rPr>
      </w:pPr>
      <w:r>
        <w:rPr>
          <w:b/>
        </w:rPr>
        <w:t>Number 3</w:t>
      </w:r>
      <w:r w:rsidRPr="002C2C06">
        <w:rPr>
          <w:b/>
        </w:rPr>
        <w:t xml:space="preserve">: </w:t>
      </w:r>
      <w:r>
        <w:rPr>
          <w:b/>
        </w:rPr>
        <w:t>Actively Educate their Customers (A)</w:t>
      </w:r>
    </w:p>
    <w:p w:rsidR="00E947D5" w:rsidRDefault="00E947D5" w:rsidP="00E947D5">
      <w:r>
        <w:t xml:space="preserve">Top performing utilities </w:t>
      </w:r>
      <w:r w:rsidR="00FF66E1">
        <w:t xml:space="preserve">do a great job of engaging their customers. </w:t>
      </w:r>
      <w:r w:rsidR="00FA3A99">
        <w:t>B</w:t>
      </w:r>
      <w:r w:rsidR="009C3930">
        <w:t>eyond the</w:t>
      </w:r>
      <w:r w:rsidR="00FA3A99">
        <w:t xml:space="preserve"> basic provision of a platform that eases transactions, </w:t>
      </w:r>
      <w:r w:rsidR="00835582">
        <w:t>th</w:t>
      </w:r>
      <w:r w:rsidR="00FA3A99">
        <w:t xml:space="preserve">ey </w:t>
      </w:r>
      <w:r w:rsidR="00A67630">
        <w:t>offer</w:t>
      </w:r>
      <w:r w:rsidR="00835582">
        <w:t xml:space="preserve"> great </w:t>
      </w:r>
      <w:r w:rsidR="00FA3A99">
        <w:t xml:space="preserve">value added </w:t>
      </w:r>
      <w:r w:rsidR="00835582">
        <w:t xml:space="preserve">content that </w:t>
      </w:r>
      <w:r w:rsidR="00FA3A99">
        <w:t xml:space="preserve">educates and inform their users. </w:t>
      </w:r>
      <w:r w:rsidR="002B4E62">
        <w:t>They provide content in</w:t>
      </w:r>
      <w:r w:rsidR="00835582">
        <w:t xml:space="preserve"> areas like water conservation</w:t>
      </w:r>
      <w:r w:rsidR="003306A5">
        <w:t xml:space="preserve"> tips</w:t>
      </w:r>
      <w:r w:rsidR="00835582">
        <w:t xml:space="preserve">, </w:t>
      </w:r>
      <w:r w:rsidR="00310F45">
        <w:t xml:space="preserve">water sources, </w:t>
      </w:r>
      <w:r w:rsidR="00835582">
        <w:t xml:space="preserve">rebate programs, </w:t>
      </w:r>
      <w:r w:rsidR="002E39BB">
        <w:t xml:space="preserve">affordability programs, </w:t>
      </w:r>
      <w:r w:rsidR="00835582">
        <w:t xml:space="preserve">community engagement activities, repairs and outages, </w:t>
      </w:r>
      <w:r w:rsidR="002E39BB">
        <w:t xml:space="preserve">job announcements, </w:t>
      </w:r>
      <w:r w:rsidR="008458BB">
        <w:t>a</w:t>
      </w:r>
      <w:r w:rsidR="005C0432">
        <w:t>s well as</w:t>
      </w:r>
      <w:r w:rsidR="008458BB">
        <w:t xml:space="preserve"> </w:t>
      </w:r>
      <w:r w:rsidR="00234B5A">
        <w:t>water quality metrics</w:t>
      </w:r>
      <w:r w:rsidR="008458BB">
        <w:t xml:space="preserve">. </w:t>
      </w:r>
    </w:p>
    <w:p w:rsidR="00F94BC4" w:rsidRDefault="00F94BC4" w:rsidP="00E947D5">
      <w:r>
        <w:t>T</w:t>
      </w:r>
      <w:r w:rsidR="00555590">
        <w:t>op performers</w:t>
      </w:r>
      <w:r>
        <w:t xml:space="preserve"> frequently link to other great content from outside organizations, such as the EPA </w:t>
      </w:r>
      <w:hyperlink r:id="rId9" w:history="1">
        <w:r w:rsidRPr="0073393F">
          <w:rPr>
            <w:rStyle w:val="Hyperlink"/>
          </w:rPr>
          <w:t>WaterSense</w:t>
        </w:r>
      </w:hyperlink>
      <w:r>
        <w:t xml:space="preserve"> program</w:t>
      </w:r>
      <w:r w:rsidR="0006428A">
        <w:t xml:space="preserve">, </w:t>
      </w:r>
      <w:hyperlink r:id="rId10" w:history="1">
        <w:r w:rsidR="0006428A" w:rsidRPr="0073393F">
          <w:rPr>
            <w:rStyle w:val="Hyperlink"/>
          </w:rPr>
          <w:t xml:space="preserve">Value of Water </w:t>
        </w:r>
      </w:hyperlink>
      <w:r w:rsidR="0006428A">
        <w:t xml:space="preserve">Campaign, </w:t>
      </w:r>
      <w:hyperlink r:id="rId11" w:history="1">
        <w:r w:rsidR="0006428A" w:rsidRPr="007B4203">
          <w:rPr>
            <w:rStyle w:val="Hyperlink"/>
          </w:rPr>
          <w:t xml:space="preserve">Think </w:t>
        </w:r>
        <w:proofErr w:type="gramStart"/>
        <w:r w:rsidR="0006428A" w:rsidRPr="007B4203">
          <w:rPr>
            <w:rStyle w:val="Hyperlink"/>
          </w:rPr>
          <w:t>Before</w:t>
        </w:r>
        <w:proofErr w:type="gramEnd"/>
        <w:r w:rsidR="0006428A" w:rsidRPr="007B4203">
          <w:rPr>
            <w:rStyle w:val="Hyperlink"/>
          </w:rPr>
          <w:t xml:space="preserve"> You Flush</w:t>
        </w:r>
      </w:hyperlink>
      <w:r w:rsidR="0006428A">
        <w:t>, etc.</w:t>
      </w:r>
      <w:r>
        <w:t xml:space="preserve"> </w:t>
      </w:r>
    </w:p>
    <w:p w:rsidR="00BB0202" w:rsidRPr="00572422" w:rsidRDefault="00BB0202"/>
    <w:p w:rsidR="006B572F" w:rsidRPr="0074285B" w:rsidRDefault="002C2C06">
      <w:pPr>
        <w:rPr>
          <w:b/>
        </w:rPr>
      </w:pPr>
      <w:r w:rsidRPr="0074285B">
        <w:rPr>
          <w:b/>
        </w:rPr>
        <w:t xml:space="preserve">Number </w:t>
      </w:r>
      <w:r w:rsidR="00E947D5">
        <w:rPr>
          <w:b/>
        </w:rPr>
        <w:t>4</w:t>
      </w:r>
      <w:r w:rsidRPr="0074285B">
        <w:rPr>
          <w:b/>
        </w:rPr>
        <w:t xml:space="preserve">: </w:t>
      </w:r>
      <w:r w:rsidR="00E947D5">
        <w:rPr>
          <w:b/>
        </w:rPr>
        <w:t>Partnership with other stakeholder (P)</w:t>
      </w:r>
    </w:p>
    <w:p w:rsidR="00BB2F49" w:rsidRDefault="006843CE">
      <w:r>
        <w:t xml:space="preserve">Many public utilities are part of a city government’s public works department. </w:t>
      </w:r>
      <w:r w:rsidR="00BB0202">
        <w:t xml:space="preserve">The best performing utilities leverage this fact for customer engagement. </w:t>
      </w:r>
      <w:r w:rsidR="00E947D5">
        <w:t>They</w:t>
      </w:r>
      <w:r w:rsidR="00BB0202">
        <w:t xml:space="preserve"> have web sites and social media platforms that </w:t>
      </w:r>
      <w:r w:rsidR="00734B8A">
        <w:t>build on</w:t>
      </w:r>
      <w:r w:rsidR="0067669B">
        <w:t xml:space="preserve"> what other city government sites</w:t>
      </w:r>
      <w:r w:rsidR="00BB2F49">
        <w:t>/services</w:t>
      </w:r>
      <w:r w:rsidR="0067669B">
        <w:t xml:space="preserve"> do. </w:t>
      </w:r>
    </w:p>
    <w:p w:rsidR="0067669B" w:rsidRDefault="00C20F9C">
      <w:r>
        <w:t>Water customers are also e</w:t>
      </w:r>
      <w:r w:rsidR="0067669B">
        <w:t xml:space="preserve">nergy </w:t>
      </w:r>
      <w:r>
        <w:t>customers</w:t>
      </w:r>
      <w:r w:rsidR="0067669B">
        <w:t xml:space="preserve">. </w:t>
      </w:r>
      <w:r>
        <w:t xml:space="preserve">Citizens that purchase water and energy from public utilities will also need to pay their taxes, renew their vehicle tags, pay for parking tickets, etc. </w:t>
      </w:r>
      <w:r w:rsidR="00BB2F49">
        <w:t>The best performers share common platforms wherever possible and customize when necessary. That way, costs are kept down, higher site traffic is generated, enhancing the quality and quantity of customer engagement.</w:t>
      </w:r>
    </w:p>
    <w:p w:rsidR="002C2C06" w:rsidRDefault="00A61619">
      <w:r>
        <w:t xml:space="preserve">The practice is not limited to public utilities. </w:t>
      </w:r>
      <w:r w:rsidR="007B2686">
        <w:t xml:space="preserve">Some </w:t>
      </w:r>
      <w:r>
        <w:t>privately run</w:t>
      </w:r>
      <w:r w:rsidR="007B2686">
        <w:t xml:space="preserve"> utilities have operations across counties and states. By and large, much of what a water customer seeks to learn in Connecticut is no different from what a consumer in California is interested in knowing</w:t>
      </w:r>
      <w:r w:rsidR="000C31B3">
        <w:t xml:space="preserve">, and shared platforms are also common among the Private operators. </w:t>
      </w:r>
    </w:p>
    <w:p w:rsidR="0073393F" w:rsidRDefault="0073393F">
      <w:hyperlink r:id="rId12" w:history="1">
        <w:r w:rsidRPr="0073393F">
          <w:rPr>
            <w:rStyle w:val="Hyperlink"/>
          </w:rPr>
          <w:t>Miami Dade</w:t>
        </w:r>
      </w:hyperlink>
      <w:r>
        <w:t xml:space="preserve"> and </w:t>
      </w:r>
      <w:hyperlink r:id="rId13" w:history="1">
        <w:r w:rsidRPr="00EB6917">
          <w:rPr>
            <w:rStyle w:val="Hyperlink"/>
          </w:rPr>
          <w:t xml:space="preserve">NYC Environmental </w:t>
        </w:r>
        <w:r w:rsidR="00EB6917" w:rsidRPr="00EB6917">
          <w:rPr>
            <w:rStyle w:val="Hyperlink"/>
          </w:rPr>
          <w:t>Protection</w:t>
        </w:r>
      </w:hyperlink>
      <w:r w:rsidR="00EB6917">
        <w:t xml:space="preserve"> </w:t>
      </w:r>
      <w:r>
        <w:t>offer gr</w:t>
      </w:r>
      <w:r w:rsidR="00EB6917">
        <w:t>e</w:t>
      </w:r>
      <w:r>
        <w:t xml:space="preserve">at examples of how Cities can make this </w:t>
      </w:r>
      <w:r w:rsidR="001176C7">
        <w:t xml:space="preserve">partnership model </w:t>
      </w:r>
      <w:r>
        <w:t xml:space="preserve">work. </w:t>
      </w:r>
    </w:p>
    <w:p w:rsidR="00E947D5" w:rsidRDefault="00E947D5"/>
    <w:p w:rsidR="00E947D5" w:rsidRPr="007C22CD" w:rsidRDefault="007C22CD">
      <w:pPr>
        <w:rPr>
          <w:b/>
        </w:rPr>
      </w:pPr>
      <w:r w:rsidRPr="007C22CD">
        <w:rPr>
          <w:b/>
        </w:rPr>
        <w:t>The WaterLEAP</w:t>
      </w:r>
      <w:r w:rsidRPr="007C22CD">
        <w:rPr>
          <w:rFonts w:cstheme="minorHAnsi"/>
          <w:b/>
        </w:rPr>
        <w:t>™</w:t>
      </w:r>
      <w:r w:rsidRPr="007C22CD">
        <w:rPr>
          <w:b/>
        </w:rPr>
        <w:t xml:space="preserve"> attributes </w:t>
      </w:r>
      <w:r w:rsidR="00E209C9">
        <w:rPr>
          <w:b/>
        </w:rPr>
        <w:t xml:space="preserve">- </w:t>
      </w:r>
      <w:r w:rsidR="00E947D5" w:rsidRPr="007C22CD">
        <w:rPr>
          <w:b/>
        </w:rPr>
        <w:t>LEAP Your Way to the Top</w:t>
      </w:r>
    </w:p>
    <w:p w:rsidR="007C7343" w:rsidRDefault="007C7343" w:rsidP="007C7343">
      <w:r>
        <w:t xml:space="preserve">In an industry that still </w:t>
      </w:r>
      <w:r w:rsidR="00491BFB">
        <w:t xml:space="preserve">largely calls customers by the </w:t>
      </w:r>
      <w:r w:rsidR="00020588">
        <w:t>(</w:t>
      </w:r>
      <w:r w:rsidR="00491BFB">
        <w:t>terribly</w:t>
      </w:r>
      <w:r w:rsidR="00020588">
        <w:t>)</w:t>
      </w:r>
      <w:r w:rsidR="00491BFB">
        <w:t xml:space="preserve"> transactional name of </w:t>
      </w:r>
      <w:r>
        <w:t>rate p</w:t>
      </w:r>
      <w:r w:rsidR="00491BFB">
        <w:t>ayers</w:t>
      </w:r>
      <w:r>
        <w:t xml:space="preserve">, it is refreshing to know that customer centric behaviors are getting adopted. </w:t>
      </w:r>
      <w:r w:rsidR="009F7892">
        <w:t xml:space="preserve">It is not accidental that the best performers also happen to have excellent customer engagement </w:t>
      </w:r>
      <w:r w:rsidR="00775C3A">
        <w:t xml:space="preserve">habits. </w:t>
      </w:r>
    </w:p>
    <w:p w:rsidR="00E947D5" w:rsidRDefault="00E947D5" w:rsidP="00E947D5">
      <w:r>
        <w:lastRenderedPageBreak/>
        <w:t>The featured utilities are Miami Dade (1</w:t>
      </w:r>
      <w:r w:rsidRPr="00DA1E3F">
        <w:rPr>
          <w:vertAlign w:val="superscript"/>
        </w:rPr>
        <w:t>st</w:t>
      </w:r>
      <w:r>
        <w:t>), Orlando Utilities Commission (2</w:t>
      </w:r>
      <w:r w:rsidRPr="00DA1E3F">
        <w:rPr>
          <w:vertAlign w:val="superscript"/>
        </w:rPr>
        <w:t>nd</w:t>
      </w:r>
      <w:r>
        <w:t>), Gwinnett County (3</w:t>
      </w:r>
      <w:r w:rsidRPr="00DA1E3F">
        <w:rPr>
          <w:vertAlign w:val="superscript"/>
        </w:rPr>
        <w:t>rd</w:t>
      </w:r>
      <w:r>
        <w:t>), Monroe County Water Authority (3</w:t>
      </w:r>
      <w:r w:rsidRPr="00DA1E3F">
        <w:rPr>
          <w:vertAlign w:val="superscript"/>
        </w:rPr>
        <w:t>rd</w:t>
      </w:r>
      <w:r>
        <w:t>), Aquarion Water Company (5</w:t>
      </w:r>
      <w:r w:rsidRPr="00DA1E3F">
        <w:rPr>
          <w:vertAlign w:val="superscript"/>
        </w:rPr>
        <w:t>th</w:t>
      </w:r>
      <w:r>
        <w:t>), NYC Environmental (6</w:t>
      </w:r>
      <w:r w:rsidRPr="00DA1E3F">
        <w:rPr>
          <w:vertAlign w:val="superscript"/>
        </w:rPr>
        <w:t>th</w:t>
      </w:r>
      <w:r>
        <w:t>), San Antonio Water (7</w:t>
      </w:r>
      <w:r w:rsidRPr="00DA1E3F">
        <w:rPr>
          <w:vertAlign w:val="superscript"/>
        </w:rPr>
        <w:t>th</w:t>
      </w:r>
      <w:r>
        <w:t>), California Water Service (8</w:t>
      </w:r>
      <w:r w:rsidRPr="00DA1E3F">
        <w:rPr>
          <w:vertAlign w:val="superscript"/>
        </w:rPr>
        <w:t>th</w:t>
      </w:r>
      <w:r>
        <w:t>), Colorado Springs Utility (9</w:t>
      </w:r>
      <w:r w:rsidRPr="00DA1E3F">
        <w:rPr>
          <w:vertAlign w:val="superscript"/>
        </w:rPr>
        <w:t>th</w:t>
      </w:r>
      <w:r>
        <w:t>), Charlotte Water (10</w:t>
      </w:r>
      <w:r w:rsidRPr="00DA1E3F">
        <w:rPr>
          <w:vertAlign w:val="superscript"/>
        </w:rPr>
        <w:t>th</w:t>
      </w:r>
      <w:r>
        <w:t>) and Cob</w:t>
      </w:r>
      <w:r w:rsidR="00205975">
        <w:t>b</w:t>
      </w:r>
      <w:r>
        <w:t xml:space="preserve"> County Water System (10</w:t>
      </w:r>
      <w:r w:rsidRPr="00DA1E3F">
        <w:rPr>
          <w:vertAlign w:val="superscript"/>
        </w:rPr>
        <w:t>th</w:t>
      </w:r>
      <w:r>
        <w:t xml:space="preserve">) </w:t>
      </w:r>
    </w:p>
    <w:p w:rsidR="00E947D5" w:rsidRDefault="00E947D5"/>
    <w:p w:rsidR="00475F8D" w:rsidRDefault="00475F8D" w:rsidP="00475F8D"/>
    <w:sectPr w:rsidR="0047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CE"/>
    <w:multiLevelType w:val="hybridMultilevel"/>
    <w:tmpl w:val="E2D0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11D8"/>
    <w:multiLevelType w:val="hybridMultilevel"/>
    <w:tmpl w:val="8EC8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31D3C"/>
    <w:multiLevelType w:val="hybridMultilevel"/>
    <w:tmpl w:val="69B8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01B47"/>
    <w:multiLevelType w:val="hybridMultilevel"/>
    <w:tmpl w:val="678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73C71"/>
    <w:multiLevelType w:val="hybridMultilevel"/>
    <w:tmpl w:val="D1788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9651B"/>
    <w:multiLevelType w:val="hybridMultilevel"/>
    <w:tmpl w:val="1D36F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04465"/>
    <w:multiLevelType w:val="hybridMultilevel"/>
    <w:tmpl w:val="2604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309D7"/>
    <w:multiLevelType w:val="hybridMultilevel"/>
    <w:tmpl w:val="79D4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67CE8"/>
    <w:multiLevelType w:val="hybridMultilevel"/>
    <w:tmpl w:val="436A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E37D1"/>
    <w:multiLevelType w:val="hybridMultilevel"/>
    <w:tmpl w:val="2C86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53FAB"/>
    <w:multiLevelType w:val="hybridMultilevel"/>
    <w:tmpl w:val="7100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8"/>
  </w:num>
  <w:num w:numId="5">
    <w:abstractNumId w:val="3"/>
  </w:num>
  <w:num w:numId="6">
    <w:abstractNumId w:val="1"/>
  </w:num>
  <w:num w:numId="7">
    <w:abstractNumId w:val="0"/>
  </w:num>
  <w:num w:numId="8">
    <w:abstractNumId w:val="7"/>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23"/>
    <w:rsid w:val="00020588"/>
    <w:rsid w:val="00041C97"/>
    <w:rsid w:val="0006428A"/>
    <w:rsid w:val="00064CF8"/>
    <w:rsid w:val="000A7D6D"/>
    <w:rsid w:val="000C31B3"/>
    <w:rsid w:val="000D3559"/>
    <w:rsid w:val="000F680A"/>
    <w:rsid w:val="001176C7"/>
    <w:rsid w:val="001857F0"/>
    <w:rsid w:val="001E3552"/>
    <w:rsid w:val="00201DDD"/>
    <w:rsid w:val="00205975"/>
    <w:rsid w:val="00234B5A"/>
    <w:rsid w:val="00241E29"/>
    <w:rsid w:val="00244DF5"/>
    <w:rsid w:val="00282FD2"/>
    <w:rsid w:val="0028722F"/>
    <w:rsid w:val="002A5559"/>
    <w:rsid w:val="002B4E62"/>
    <w:rsid w:val="002C2C06"/>
    <w:rsid w:val="002C5BC1"/>
    <w:rsid w:val="002D7641"/>
    <w:rsid w:val="002E39BB"/>
    <w:rsid w:val="00310F45"/>
    <w:rsid w:val="0032544D"/>
    <w:rsid w:val="003306A5"/>
    <w:rsid w:val="00353DF5"/>
    <w:rsid w:val="003B09DC"/>
    <w:rsid w:val="003B5BAB"/>
    <w:rsid w:val="00414D1E"/>
    <w:rsid w:val="0042205C"/>
    <w:rsid w:val="004333FF"/>
    <w:rsid w:val="0044577A"/>
    <w:rsid w:val="00475F8D"/>
    <w:rsid w:val="00491BFB"/>
    <w:rsid w:val="004A1B84"/>
    <w:rsid w:val="00525E20"/>
    <w:rsid w:val="00531548"/>
    <w:rsid w:val="005321AC"/>
    <w:rsid w:val="00532D9D"/>
    <w:rsid w:val="00537823"/>
    <w:rsid w:val="00555590"/>
    <w:rsid w:val="0057002D"/>
    <w:rsid w:val="00572422"/>
    <w:rsid w:val="0057436A"/>
    <w:rsid w:val="00591DAF"/>
    <w:rsid w:val="005A2AA6"/>
    <w:rsid w:val="005C0432"/>
    <w:rsid w:val="005C1A9B"/>
    <w:rsid w:val="005E01F9"/>
    <w:rsid w:val="005F0FA8"/>
    <w:rsid w:val="006445C5"/>
    <w:rsid w:val="00667D62"/>
    <w:rsid w:val="006743F6"/>
    <w:rsid w:val="0067669B"/>
    <w:rsid w:val="006843CE"/>
    <w:rsid w:val="006A3227"/>
    <w:rsid w:val="006A46F2"/>
    <w:rsid w:val="006B572F"/>
    <w:rsid w:val="006C056A"/>
    <w:rsid w:val="00704BB5"/>
    <w:rsid w:val="0073393F"/>
    <w:rsid w:val="00734B8A"/>
    <w:rsid w:val="0074285B"/>
    <w:rsid w:val="00754F3B"/>
    <w:rsid w:val="00762B45"/>
    <w:rsid w:val="00771AF6"/>
    <w:rsid w:val="00772A7D"/>
    <w:rsid w:val="00773F1D"/>
    <w:rsid w:val="00775C3A"/>
    <w:rsid w:val="007958B3"/>
    <w:rsid w:val="007B2686"/>
    <w:rsid w:val="007B4203"/>
    <w:rsid w:val="007C22CD"/>
    <w:rsid w:val="007C54C4"/>
    <w:rsid w:val="007C7343"/>
    <w:rsid w:val="007F65A1"/>
    <w:rsid w:val="008264E4"/>
    <w:rsid w:val="00831081"/>
    <w:rsid w:val="00835582"/>
    <w:rsid w:val="008458BB"/>
    <w:rsid w:val="00863D5D"/>
    <w:rsid w:val="0088278D"/>
    <w:rsid w:val="008963AC"/>
    <w:rsid w:val="008C4CD5"/>
    <w:rsid w:val="008E3D73"/>
    <w:rsid w:val="009101B0"/>
    <w:rsid w:val="009159A0"/>
    <w:rsid w:val="00943063"/>
    <w:rsid w:val="009779BF"/>
    <w:rsid w:val="009C130C"/>
    <w:rsid w:val="009C3930"/>
    <w:rsid w:val="009D1356"/>
    <w:rsid w:val="009E6301"/>
    <w:rsid w:val="009F7892"/>
    <w:rsid w:val="00A230C0"/>
    <w:rsid w:val="00A47924"/>
    <w:rsid w:val="00A50C70"/>
    <w:rsid w:val="00A53446"/>
    <w:rsid w:val="00A61619"/>
    <w:rsid w:val="00A627B9"/>
    <w:rsid w:val="00A67630"/>
    <w:rsid w:val="00A97ACE"/>
    <w:rsid w:val="00AA524D"/>
    <w:rsid w:val="00AB1C3A"/>
    <w:rsid w:val="00AE424A"/>
    <w:rsid w:val="00B15C99"/>
    <w:rsid w:val="00B341FE"/>
    <w:rsid w:val="00B448B7"/>
    <w:rsid w:val="00B92C42"/>
    <w:rsid w:val="00BB018F"/>
    <w:rsid w:val="00BB0202"/>
    <w:rsid w:val="00BB2F49"/>
    <w:rsid w:val="00BB3F7F"/>
    <w:rsid w:val="00BD60B1"/>
    <w:rsid w:val="00BF7584"/>
    <w:rsid w:val="00C20F9C"/>
    <w:rsid w:val="00C22A07"/>
    <w:rsid w:val="00C33458"/>
    <w:rsid w:val="00C847AC"/>
    <w:rsid w:val="00C975D1"/>
    <w:rsid w:val="00CA4624"/>
    <w:rsid w:val="00CA7D61"/>
    <w:rsid w:val="00D06CB2"/>
    <w:rsid w:val="00D32E69"/>
    <w:rsid w:val="00D35348"/>
    <w:rsid w:val="00D428F4"/>
    <w:rsid w:val="00D62A7C"/>
    <w:rsid w:val="00D83C4A"/>
    <w:rsid w:val="00DA1E3F"/>
    <w:rsid w:val="00E051E6"/>
    <w:rsid w:val="00E07FFD"/>
    <w:rsid w:val="00E209C9"/>
    <w:rsid w:val="00E947D5"/>
    <w:rsid w:val="00EB467B"/>
    <w:rsid w:val="00EB6917"/>
    <w:rsid w:val="00ED2D88"/>
    <w:rsid w:val="00EE7271"/>
    <w:rsid w:val="00F1020E"/>
    <w:rsid w:val="00F44DDD"/>
    <w:rsid w:val="00F550B7"/>
    <w:rsid w:val="00F674ED"/>
    <w:rsid w:val="00F70C05"/>
    <w:rsid w:val="00F91B15"/>
    <w:rsid w:val="00F94BC4"/>
    <w:rsid w:val="00FA3A99"/>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27A62-381C-4B6A-B6D0-58455A34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F1D"/>
    <w:pPr>
      <w:ind w:left="720"/>
      <w:contextualSpacing/>
    </w:pPr>
  </w:style>
  <w:style w:type="character" w:styleId="Hyperlink">
    <w:name w:val="Hyperlink"/>
    <w:basedOn w:val="DefaultParagraphFont"/>
    <w:uiPriority w:val="99"/>
    <w:unhideWhenUsed/>
    <w:rsid w:val="006743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yc.gov/html/dep/html/home/home.shtml" TargetMode="External"/><Relationship Id="rId3" Type="http://schemas.openxmlformats.org/officeDocument/2006/relationships/settings" Target="settings.xml"/><Relationship Id="rId7" Type="http://schemas.openxmlformats.org/officeDocument/2006/relationships/hyperlink" Target="http://www.jdpower.com/press-releases/2016-water-utility-residential-customer-satisfaction-study" TargetMode="External"/><Relationship Id="rId12" Type="http://schemas.openxmlformats.org/officeDocument/2006/relationships/hyperlink" Target="http://www.miamidade.gov/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inkbeforeyouflush.org/" TargetMode="External"/><Relationship Id="rId5" Type="http://schemas.openxmlformats.org/officeDocument/2006/relationships/hyperlink" Target="https://www.google.com/url?sa=i&amp;rct=j&amp;q=&amp;esrc=s&amp;source=images&amp;cd=&amp;cad=rja&amp;uact=8&amp;ved=0ahUKEwiW76ypg-nSAhUBeyYKHaaBCZQQjRwIBw&amp;url=http%3A%2F%2Fwww.jdpower.com%2Fclients&amp;psig=AFQjCNEy_z9wccHJZLwxAlj5pu6WN5nt5Q&amp;ust=1490234782479559" TargetMode="External"/><Relationship Id="rId15" Type="http://schemas.openxmlformats.org/officeDocument/2006/relationships/theme" Target="theme/theme1.xml"/><Relationship Id="rId10" Type="http://schemas.openxmlformats.org/officeDocument/2006/relationships/hyperlink" Target="http://thevalueofwater.org/" TargetMode="External"/><Relationship Id="rId4" Type="http://schemas.openxmlformats.org/officeDocument/2006/relationships/webSettings" Target="webSettings.xml"/><Relationship Id="rId9" Type="http://schemas.openxmlformats.org/officeDocument/2006/relationships/hyperlink" Target="https://www3.epa.gov/watersen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3</Pages>
  <Words>731</Words>
  <Characters>3960</Characters>
  <Application>Microsoft Office Word</Application>
  <DocSecurity>0</DocSecurity>
  <Lines>86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Fabiyi</dc:creator>
  <cp:keywords/>
  <dc:description/>
  <cp:lastModifiedBy>Malcolm Fabiyi</cp:lastModifiedBy>
  <cp:revision>94</cp:revision>
  <dcterms:created xsi:type="dcterms:W3CDTF">2017-03-22T02:09:00Z</dcterms:created>
  <dcterms:modified xsi:type="dcterms:W3CDTF">2017-03-22T11:18:00Z</dcterms:modified>
</cp:coreProperties>
</file>